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656" w:rsidRDefault="00374656" w:rsidP="001E23EF">
      <w:r w:rsidRPr="00FF1C3C">
        <w:rPr>
          <w:caps/>
          <w:noProof/>
          <w:color w:val="00000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87pt;height:13.5pt;visibility:visible">
            <v:imagedata r:id="rId7" o:title=""/>
          </v:shape>
        </w:pict>
      </w:r>
      <w:r>
        <w:rPr>
          <w:noProof/>
          <w:lang w:val="en-US"/>
        </w:rPr>
        <w:pict>
          <v:rect id="_x0000_s1026" style="position:absolute;left:0;text-align:left;margin-left:339.25pt;margin-top:-71.6pt;width:185.9pt;height:851.25pt;z-index:-251660288;mso-position-horizontal-relative:text;mso-position-vertical-relative:text" fillcolor="red" strokecolor="#c00000" strokeweight="10pt">
            <v:stroke linestyle="thinThin"/>
            <v:shadow color="#868686"/>
          </v:rect>
        </w:pict>
      </w:r>
    </w:p>
    <w:tbl>
      <w:tblPr>
        <w:tblpPr w:leftFromText="141" w:rightFromText="141" w:vertAnchor="text" w:horzAnchor="page" w:tblpX="651" w:tblpY="10302"/>
        <w:tblW w:w="6526" w:type="dxa"/>
        <w:tblCellMar>
          <w:left w:w="70" w:type="dxa"/>
          <w:right w:w="70" w:type="dxa"/>
        </w:tblCellMar>
        <w:tblLook w:val="0000"/>
      </w:tblPr>
      <w:tblGrid>
        <w:gridCol w:w="2338"/>
        <w:gridCol w:w="4188"/>
      </w:tblGrid>
      <w:tr w:rsidR="00374656" w:rsidRPr="00FF1C3C" w:rsidTr="00842650">
        <w:trPr>
          <w:trHeight w:val="294"/>
        </w:trPr>
        <w:tc>
          <w:tcPr>
            <w:tcW w:w="2338" w:type="dxa"/>
            <w:tcBorders>
              <w:top w:val="nil"/>
              <w:left w:val="nil"/>
              <w:bottom w:val="nil"/>
              <w:right w:val="nil"/>
            </w:tcBorders>
            <w:noWrap/>
          </w:tcPr>
          <w:p w:rsidR="00374656" w:rsidRPr="00FF1C3C" w:rsidRDefault="00374656" w:rsidP="00842650">
            <w:pPr>
              <w:spacing w:after="0"/>
              <w:rPr>
                <w:b/>
                <w:bCs/>
                <w:color w:val="000000"/>
                <w:lang w:eastAsia="nl-NL"/>
              </w:rPr>
            </w:pPr>
            <w:r w:rsidRPr="00FF1C3C">
              <w:rPr>
                <w:b/>
                <w:bCs/>
                <w:color w:val="000000"/>
                <w:lang w:eastAsia="nl-NL"/>
              </w:rPr>
              <w:t>Naam:</w:t>
            </w:r>
          </w:p>
        </w:tc>
        <w:tc>
          <w:tcPr>
            <w:tcW w:w="4188" w:type="dxa"/>
            <w:tcBorders>
              <w:top w:val="nil"/>
              <w:left w:val="nil"/>
              <w:bottom w:val="nil"/>
              <w:right w:val="nil"/>
            </w:tcBorders>
            <w:noWrap/>
          </w:tcPr>
          <w:p w:rsidR="00374656" w:rsidRPr="00FF1C3C" w:rsidRDefault="00374656" w:rsidP="00842650">
            <w:pPr>
              <w:spacing w:after="0"/>
              <w:rPr>
                <w:b/>
                <w:bCs/>
                <w:i/>
                <w:iCs/>
                <w:color w:val="000000"/>
                <w:lang w:eastAsia="nl-NL"/>
              </w:rPr>
            </w:pPr>
            <w:r w:rsidRPr="00FF1C3C">
              <w:rPr>
                <w:b/>
                <w:bCs/>
                <w:i/>
                <w:iCs/>
                <w:color w:val="000000"/>
                <w:lang w:eastAsia="nl-NL"/>
              </w:rPr>
              <w:t>Hil Yang Cheung</w:t>
            </w:r>
          </w:p>
        </w:tc>
      </w:tr>
      <w:tr w:rsidR="00374656" w:rsidRPr="00FF1C3C" w:rsidTr="00842650">
        <w:trPr>
          <w:trHeight w:val="294"/>
        </w:trPr>
        <w:tc>
          <w:tcPr>
            <w:tcW w:w="2338" w:type="dxa"/>
            <w:tcBorders>
              <w:top w:val="nil"/>
              <w:left w:val="nil"/>
              <w:bottom w:val="nil"/>
              <w:right w:val="nil"/>
            </w:tcBorders>
            <w:noWrap/>
          </w:tcPr>
          <w:p w:rsidR="00374656" w:rsidRPr="00FF1C3C" w:rsidRDefault="00374656" w:rsidP="00842650">
            <w:pPr>
              <w:spacing w:after="0"/>
              <w:rPr>
                <w:b/>
                <w:bCs/>
                <w:color w:val="000000"/>
                <w:lang w:eastAsia="nl-NL"/>
              </w:rPr>
            </w:pPr>
            <w:r w:rsidRPr="00FF1C3C">
              <w:rPr>
                <w:b/>
                <w:bCs/>
                <w:color w:val="000000"/>
                <w:lang w:eastAsia="nl-NL"/>
              </w:rPr>
              <w:t>Studentennummer:</w:t>
            </w:r>
          </w:p>
        </w:tc>
        <w:tc>
          <w:tcPr>
            <w:tcW w:w="4188" w:type="dxa"/>
            <w:tcBorders>
              <w:top w:val="nil"/>
              <w:left w:val="nil"/>
              <w:bottom w:val="nil"/>
              <w:right w:val="nil"/>
            </w:tcBorders>
            <w:noWrap/>
          </w:tcPr>
          <w:p w:rsidR="00374656" w:rsidRPr="00FF1C3C" w:rsidRDefault="00374656" w:rsidP="00842650">
            <w:pPr>
              <w:spacing w:after="0"/>
              <w:rPr>
                <w:b/>
                <w:bCs/>
                <w:i/>
                <w:iCs/>
                <w:color w:val="000000"/>
                <w:lang w:eastAsia="nl-NL"/>
              </w:rPr>
            </w:pPr>
            <w:r w:rsidRPr="00FF1C3C">
              <w:rPr>
                <w:b/>
                <w:bCs/>
                <w:i/>
                <w:iCs/>
                <w:color w:val="000000"/>
                <w:lang w:eastAsia="nl-NL"/>
              </w:rPr>
              <w:t>320340</w:t>
            </w:r>
          </w:p>
        </w:tc>
      </w:tr>
      <w:tr w:rsidR="00374656" w:rsidRPr="00FF1C3C" w:rsidTr="00842650">
        <w:trPr>
          <w:trHeight w:val="294"/>
        </w:trPr>
        <w:tc>
          <w:tcPr>
            <w:tcW w:w="2338" w:type="dxa"/>
            <w:tcBorders>
              <w:top w:val="nil"/>
              <w:left w:val="nil"/>
              <w:bottom w:val="nil"/>
              <w:right w:val="nil"/>
            </w:tcBorders>
            <w:noWrap/>
          </w:tcPr>
          <w:p w:rsidR="00374656" w:rsidRPr="00FF1C3C" w:rsidRDefault="00374656" w:rsidP="00842650">
            <w:pPr>
              <w:spacing w:after="0"/>
              <w:rPr>
                <w:b/>
                <w:bCs/>
                <w:color w:val="000000"/>
                <w:lang w:eastAsia="nl-NL"/>
              </w:rPr>
            </w:pPr>
            <w:r w:rsidRPr="00FF1C3C">
              <w:rPr>
                <w:b/>
                <w:bCs/>
                <w:color w:val="000000"/>
                <w:lang w:eastAsia="nl-NL"/>
              </w:rPr>
              <w:t>Vakgebied:</w:t>
            </w:r>
          </w:p>
        </w:tc>
        <w:tc>
          <w:tcPr>
            <w:tcW w:w="4188" w:type="dxa"/>
            <w:tcBorders>
              <w:top w:val="nil"/>
              <w:left w:val="nil"/>
              <w:bottom w:val="nil"/>
              <w:right w:val="nil"/>
            </w:tcBorders>
            <w:noWrap/>
          </w:tcPr>
          <w:p w:rsidR="00374656" w:rsidRPr="00FF1C3C" w:rsidRDefault="00374656" w:rsidP="00842650">
            <w:pPr>
              <w:spacing w:after="0"/>
              <w:rPr>
                <w:b/>
                <w:bCs/>
                <w:i/>
                <w:iCs/>
                <w:color w:val="000000"/>
                <w:lang w:eastAsia="nl-NL"/>
              </w:rPr>
            </w:pPr>
            <w:r w:rsidRPr="00FF1C3C">
              <w:rPr>
                <w:b/>
                <w:bCs/>
                <w:i/>
                <w:iCs/>
                <w:color w:val="000000"/>
                <w:lang w:eastAsia="nl-NL"/>
              </w:rPr>
              <w:t>Financial Accounting</w:t>
            </w:r>
          </w:p>
        </w:tc>
      </w:tr>
      <w:tr w:rsidR="00374656" w:rsidRPr="00FF1C3C" w:rsidTr="00842650">
        <w:trPr>
          <w:trHeight w:val="294"/>
        </w:trPr>
        <w:tc>
          <w:tcPr>
            <w:tcW w:w="2338" w:type="dxa"/>
            <w:tcBorders>
              <w:top w:val="nil"/>
              <w:left w:val="nil"/>
              <w:bottom w:val="nil"/>
              <w:right w:val="nil"/>
            </w:tcBorders>
            <w:noWrap/>
          </w:tcPr>
          <w:p w:rsidR="00374656" w:rsidRPr="00FF1C3C" w:rsidRDefault="00374656" w:rsidP="00842650">
            <w:pPr>
              <w:spacing w:after="0"/>
              <w:rPr>
                <w:b/>
                <w:bCs/>
                <w:color w:val="000000"/>
                <w:lang w:eastAsia="nl-NL"/>
              </w:rPr>
            </w:pPr>
            <w:r w:rsidRPr="00FF1C3C">
              <w:rPr>
                <w:b/>
                <w:bCs/>
                <w:color w:val="000000"/>
                <w:lang w:eastAsia="nl-NL"/>
              </w:rPr>
              <w:t>Opleiding:</w:t>
            </w:r>
          </w:p>
        </w:tc>
        <w:tc>
          <w:tcPr>
            <w:tcW w:w="4188" w:type="dxa"/>
            <w:tcBorders>
              <w:top w:val="nil"/>
              <w:left w:val="nil"/>
              <w:bottom w:val="nil"/>
              <w:right w:val="nil"/>
            </w:tcBorders>
            <w:noWrap/>
          </w:tcPr>
          <w:p w:rsidR="00374656" w:rsidRPr="00FF1C3C" w:rsidRDefault="00374656" w:rsidP="00842650">
            <w:pPr>
              <w:spacing w:after="0"/>
              <w:rPr>
                <w:b/>
                <w:bCs/>
                <w:i/>
                <w:iCs/>
                <w:color w:val="000000"/>
                <w:lang w:eastAsia="nl-NL"/>
              </w:rPr>
            </w:pPr>
            <w:r w:rsidRPr="00FF1C3C">
              <w:rPr>
                <w:b/>
                <w:bCs/>
                <w:i/>
                <w:iCs/>
                <w:color w:val="000000"/>
                <w:lang w:eastAsia="nl-NL"/>
              </w:rPr>
              <w:t>Bedrijfseconomie &amp; Economie</w:t>
            </w:r>
          </w:p>
        </w:tc>
      </w:tr>
      <w:tr w:rsidR="00374656" w:rsidRPr="00FF1C3C" w:rsidTr="00842650">
        <w:trPr>
          <w:trHeight w:val="294"/>
        </w:trPr>
        <w:tc>
          <w:tcPr>
            <w:tcW w:w="2338" w:type="dxa"/>
            <w:tcBorders>
              <w:top w:val="nil"/>
              <w:left w:val="nil"/>
              <w:bottom w:val="nil"/>
              <w:right w:val="nil"/>
            </w:tcBorders>
            <w:noWrap/>
          </w:tcPr>
          <w:p w:rsidR="00374656" w:rsidRPr="00FF1C3C" w:rsidRDefault="00374656" w:rsidP="00842650">
            <w:pPr>
              <w:spacing w:after="0"/>
              <w:rPr>
                <w:b/>
                <w:bCs/>
                <w:color w:val="000000"/>
                <w:lang w:eastAsia="nl-NL"/>
              </w:rPr>
            </w:pPr>
            <w:r w:rsidRPr="00FF1C3C">
              <w:rPr>
                <w:b/>
                <w:bCs/>
                <w:color w:val="000000"/>
                <w:lang w:eastAsia="nl-NL"/>
              </w:rPr>
              <w:t>Begeleiders:</w:t>
            </w:r>
          </w:p>
        </w:tc>
        <w:tc>
          <w:tcPr>
            <w:tcW w:w="4188" w:type="dxa"/>
            <w:tcBorders>
              <w:top w:val="nil"/>
              <w:left w:val="nil"/>
              <w:bottom w:val="nil"/>
              <w:right w:val="nil"/>
            </w:tcBorders>
            <w:noWrap/>
          </w:tcPr>
          <w:p w:rsidR="00374656" w:rsidRPr="00FF1C3C" w:rsidRDefault="00374656" w:rsidP="00842650">
            <w:pPr>
              <w:spacing w:after="0"/>
              <w:rPr>
                <w:b/>
                <w:bCs/>
                <w:i/>
                <w:iCs/>
                <w:color w:val="000000"/>
                <w:lang w:eastAsia="nl-NL"/>
              </w:rPr>
            </w:pPr>
            <w:r w:rsidRPr="00FF1C3C">
              <w:rPr>
                <w:b/>
                <w:bCs/>
                <w:i/>
                <w:iCs/>
                <w:color w:val="000000"/>
                <w:lang w:eastAsia="nl-NL"/>
              </w:rPr>
              <w:t xml:space="preserve">Drs H.J. Bouwer &amp; Dr C.D. Knoops </w:t>
            </w:r>
          </w:p>
        </w:tc>
      </w:tr>
      <w:tr w:rsidR="00374656" w:rsidRPr="00FF1C3C" w:rsidTr="00842650">
        <w:trPr>
          <w:trHeight w:val="294"/>
        </w:trPr>
        <w:tc>
          <w:tcPr>
            <w:tcW w:w="2338" w:type="dxa"/>
            <w:tcBorders>
              <w:top w:val="nil"/>
              <w:left w:val="nil"/>
              <w:bottom w:val="nil"/>
              <w:right w:val="nil"/>
            </w:tcBorders>
            <w:noWrap/>
          </w:tcPr>
          <w:p w:rsidR="00374656" w:rsidRPr="00FF1C3C" w:rsidRDefault="00374656" w:rsidP="00842650">
            <w:pPr>
              <w:spacing w:after="0"/>
              <w:rPr>
                <w:b/>
                <w:bCs/>
                <w:color w:val="000000"/>
                <w:lang w:eastAsia="nl-NL"/>
              </w:rPr>
            </w:pPr>
            <w:r w:rsidRPr="00FF1C3C">
              <w:rPr>
                <w:b/>
                <w:bCs/>
                <w:color w:val="000000"/>
                <w:lang w:eastAsia="nl-NL"/>
              </w:rPr>
              <w:t>Datum:</w:t>
            </w:r>
          </w:p>
        </w:tc>
        <w:tc>
          <w:tcPr>
            <w:tcW w:w="4188" w:type="dxa"/>
            <w:tcBorders>
              <w:top w:val="nil"/>
              <w:left w:val="nil"/>
              <w:bottom w:val="nil"/>
              <w:right w:val="nil"/>
            </w:tcBorders>
            <w:noWrap/>
          </w:tcPr>
          <w:p w:rsidR="00374656" w:rsidRPr="00FF1C3C" w:rsidRDefault="00374656" w:rsidP="00842650">
            <w:pPr>
              <w:spacing w:after="0"/>
              <w:rPr>
                <w:b/>
                <w:bCs/>
                <w:i/>
                <w:iCs/>
                <w:color w:val="000000"/>
                <w:lang w:eastAsia="nl-NL"/>
              </w:rPr>
            </w:pPr>
            <w:r w:rsidRPr="00FF1C3C">
              <w:rPr>
                <w:b/>
                <w:bCs/>
                <w:i/>
                <w:iCs/>
                <w:color w:val="000000"/>
                <w:lang w:eastAsia="nl-NL"/>
              </w:rPr>
              <w:t>20 juni 2011</w:t>
            </w:r>
          </w:p>
        </w:tc>
      </w:tr>
    </w:tbl>
    <w:p w:rsidR="00374656" w:rsidRDefault="00374656" w:rsidP="001E23EF">
      <w:r>
        <w:rPr>
          <w:noProof/>
          <w:lang w:val="en-US"/>
        </w:rPr>
        <w:pict>
          <v:shape id="Afbeelding 4" o:spid="_x0000_s1027" type="#_x0000_t75" alt="firms.jpg" style="position:absolute;left:0;text-align:left;margin-left:-43.7pt;margin-top:303.2pt;width:299.75pt;height:179.6pt;z-index:-251659264;visibility:visible;mso-position-horizontal-relative:text;mso-position-vertical-relative:text">
            <v:imagedata r:id="rId8" o:title="" grayscale="t"/>
          </v:shape>
        </w:pict>
      </w:r>
      <w:r>
        <w:rPr>
          <w:noProof/>
          <w:lang w:val="en-US"/>
        </w:rPr>
        <w:pict>
          <v:shape id="Afbeelding 8" o:spid="_x0000_s1028" type="#_x0000_t75" alt="iasb-logo.jpg" style="position:absolute;left:0;text-align:left;margin-left:-35.65pt;margin-top:267.6pt;width:134.85pt;height:36.75pt;z-index:251658240;visibility:visible;mso-position-horizontal-relative:text;mso-position-vertical-relative:text">
            <v:imagedata r:id="rId9" o:title=""/>
          </v:shape>
        </w:pict>
      </w:r>
      <w:r>
        <w:rPr>
          <w:noProof/>
          <w:lang w:val="en-US"/>
        </w:rPr>
        <w:pict>
          <v:rect id="_x0000_s1029" style="position:absolute;left:0;text-align:left;margin-left:0;margin-top:212.1pt;width:539.1pt;height:122.7pt;z-index:251655168;mso-position-horizontal:left;mso-position-horizontal-relative:page;mso-position-vertical-relative:page;v-text-anchor:middle" o:allowincell="f" fillcolor="black" strokecolor="white" strokeweight="2.25pt">
            <v:fill color2="#365f91"/>
            <v:shadow color="#d8d8d8" offset="3pt,3pt" offset2="2pt,2pt"/>
            <v:textbox style="mso-next-textbox:#_x0000_s1029" inset="14.4pt,,14.4pt">
              <w:txbxContent>
                <w:p w:rsidR="00374656" w:rsidRDefault="00374656" w:rsidP="001E23EF">
                  <w:pPr>
                    <w:pStyle w:val="NoSpacing"/>
                    <w:spacing w:line="276" w:lineRule="auto"/>
                    <w:jc w:val="center"/>
                    <w:rPr>
                      <w:rFonts w:ascii="Times New Roman" w:hAnsi="Times New Roman"/>
                      <w:color w:val="FFFFFF"/>
                      <w:sz w:val="72"/>
                      <w:szCs w:val="72"/>
                    </w:rPr>
                  </w:pPr>
                  <w:r>
                    <w:rPr>
                      <w:rFonts w:ascii="Times New Roman" w:hAnsi="Times New Roman"/>
                      <w:color w:val="FFFFFF"/>
                      <w:sz w:val="72"/>
                      <w:szCs w:val="72"/>
                    </w:rPr>
                    <w:t>Bachelorscriptie</w:t>
                  </w:r>
                </w:p>
                <w:p w:rsidR="00374656" w:rsidRDefault="00374656" w:rsidP="001E23EF">
                  <w:pPr>
                    <w:pStyle w:val="NoSpacing"/>
                    <w:jc w:val="center"/>
                    <w:rPr>
                      <w:rFonts w:ascii="Cambria" w:hAnsi="Cambria" w:cs="Cambria"/>
                      <w:color w:val="FFFFFF"/>
                      <w:sz w:val="72"/>
                      <w:szCs w:val="72"/>
                    </w:rPr>
                  </w:pPr>
                  <w:r>
                    <w:rPr>
                      <w:rFonts w:ascii="Times New Roman" w:hAnsi="Times New Roman"/>
                      <w:i/>
                      <w:iCs/>
                      <w:color w:val="FFFFFF"/>
                      <w:sz w:val="36"/>
                      <w:szCs w:val="36"/>
                    </w:rPr>
                    <w:t>Welke factoren beïnvloeden de mate van bereidheid tot de invoering van de IFRS for SMEs?</w:t>
                  </w:r>
                </w:p>
              </w:txbxContent>
            </v:textbox>
            <w10:wrap anchorx="page" anchory="page"/>
          </v:rect>
        </w:pict>
      </w:r>
      <w:r>
        <w:br w:type="page"/>
      </w:r>
    </w:p>
    <w:p w:rsidR="00374656" w:rsidRDefault="00374656" w:rsidP="001E23EF">
      <w:pPr>
        <w:spacing w:after="0"/>
        <w:rPr>
          <w:b/>
          <w:bCs/>
          <w:sz w:val="28"/>
          <w:szCs w:val="28"/>
        </w:rPr>
      </w:pPr>
      <w:r>
        <w:rPr>
          <w:b/>
          <w:bCs/>
          <w:sz w:val="28"/>
          <w:szCs w:val="28"/>
        </w:rPr>
        <w:t>Voorwoord</w:t>
      </w:r>
    </w:p>
    <w:p w:rsidR="00374656" w:rsidRDefault="00374656" w:rsidP="001E23EF">
      <w:pPr>
        <w:spacing w:after="0"/>
        <w:rPr>
          <w:b/>
          <w:bCs/>
          <w:sz w:val="28"/>
          <w:szCs w:val="28"/>
        </w:rPr>
      </w:pPr>
    </w:p>
    <w:p w:rsidR="00374656" w:rsidRDefault="00374656" w:rsidP="001E23EF">
      <w:pPr>
        <w:spacing w:after="0"/>
      </w:pPr>
      <w:r>
        <w:t>Deze scriptie is geschreven ter afsluiting van de Bachelor Bedrijfseconomie &amp; Economie aan de Erasmus Universiteit te Rotterdam. Het onderwerp van deze scriptie valt in het vakgebied Financial Accounting, in het bijzonder de Externe Verslaggeving. De bedoeling is met name inzicht te verkrijgen in het gekozen onderwerp door op zoek te gaan naar verschillende literatuur en dit te verwerken in de scriptie.</w:t>
      </w:r>
    </w:p>
    <w:p w:rsidR="00374656" w:rsidRDefault="00374656" w:rsidP="001E23EF">
      <w:pPr>
        <w:spacing w:after="0"/>
      </w:pPr>
      <w:r>
        <w:t xml:space="preserve"> </w:t>
      </w:r>
    </w:p>
    <w:p w:rsidR="00374656" w:rsidRDefault="00374656" w:rsidP="001E23EF">
      <w:r>
        <w:t>Het schrijven van deze scriptie heeft mij in veel opzichten baten opgeleverd. Zo is het van belang  alvorens een goede planning te maken van hetgeen geschreven moet worden. Bovendien dient niet alleen kritisch te worden gekeken naar de desbetreffende bronnen zoals de juistheid, relevantie en de betrouwbaarheid ervan, maar ook het vermelden van de gebruikte bronnen is een leer. Daarnaast heb ik daadwerkelijk meer inzicht gekregen in de IFRS for SMEs, mijn gekozen onderwerp. Door enige tijd bezig te zijn met dit onderwerp is mijn kennis omtrent de standaard vergroot dat wellicht nuttig kan zijn voor de toekomst. Verder biedt deze opdracht een mooie gelegenheid om samen te kunnen werken met andere medestudenten. Ondanks de meningsverschillen, blijft de communicatie binnen de groep goed. Als laatste betreft de omgang met de geleverde kritieken en de verwerking ervan. Hoewel het opnemen van kritieken geen gemakkelijke zaak is, komt het alleen maar ten goede van het hele gebeuren. Al met al is het een leerzame opdracht.</w:t>
      </w:r>
    </w:p>
    <w:p w:rsidR="00374656" w:rsidRDefault="00374656" w:rsidP="001E23EF">
      <w:r>
        <w:t xml:space="preserve">Verschillende personen hebben een belangrijke rol gespeeld bij het schrijven van deze scriptie. Hierbij bedank ik mijn scriptiebegeleiders, Dhr. Bouwer en Dhr. Knoops, en mijn medestudenten Bebi Merinda, Evelyn Cheng en Leonie van der Lugt. De docenten waren bereid te helpen met het opstellen van de probleemstelling en het vinden van de desbetreffende bronnen. Bovendien werden nuttige kritieken geleverd tijdens de bijeenkomsten door de docenten en mijn medestudenten teneinde een goede scriptie te kunnen schrijven. </w:t>
      </w:r>
    </w:p>
    <w:p w:rsidR="00374656" w:rsidRDefault="00374656" w:rsidP="001E23EF">
      <w:r>
        <w:t>Hil Yang Cheung</w:t>
      </w:r>
    </w:p>
    <w:p w:rsidR="00374656" w:rsidRDefault="00374656" w:rsidP="001E23EF">
      <w:r>
        <w:t>Rotterdam, 15 juni 2011</w:t>
      </w:r>
    </w:p>
    <w:p w:rsidR="00374656" w:rsidRDefault="00374656" w:rsidP="001E23EF">
      <w:r>
        <w:br w:type="page"/>
      </w:r>
    </w:p>
    <w:p w:rsidR="00374656" w:rsidRDefault="00374656" w:rsidP="001E23EF">
      <w:pPr>
        <w:pStyle w:val="TOCHeading"/>
        <w:spacing w:line="336" w:lineRule="auto"/>
        <w:rPr>
          <w:rFonts w:ascii="Times New Roman" w:hAnsi="Times New Roman"/>
          <w:b w:val="0"/>
          <w:bCs w:val="0"/>
          <w:sz w:val="22"/>
          <w:szCs w:val="22"/>
        </w:rPr>
      </w:pPr>
      <w:r>
        <w:rPr>
          <w:rFonts w:ascii="Times New Roman" w:hAnsi="Times New Roman"/>
          <w:color w:val="auto"/>
          <w:sz w:val="24"/>
          <w:szCs w:val="24"/>
        </w:rPr>
        <w:t>Inhoudsopgave</w:t>
      </w:r>
    </w:p>
    <w:p w:rsidR="00374656" w:rsidRDefault="00374656" w:rsidP="001E23EF"/>
    <w:p w:rsidR="00374656" w:rsidRDefault="00374656" w:rsidP="001E23EF">
      <w:pPr>
        <w:pStyle w:val="TOC1"/>
        <w:rPr>
          <w:rFonts w:ascii="Calibri" w:hAnsi="Calibri" w:cs="Calibri"/>
          <w:lang w:eastAsia="nl-NL"/>
        </w:rPr>
      </w:pPr>
      <w:r>
        <w:fldChar w:fldCharType="begin"/>
      </w:r>
      <w:r>
        <w:instrText xml:space="preserve"> TOC \o "1-4" \h \z \u </w:instrText>
      </w:r>
      <w:r>
        <w:fldChar w:fldCharType="separate"/>
      </w:r>
      <w:hyperlink w:anchor="_Toc296778001" w:history="1">
        <w:r>
          <w:rPr>
            <w:rStyle w:val="Hyperlink"/>
          </w:rPr>
          <w:t>Inleiding</w:t>
        </w:r>
        <w:r>
          <w:rPr>
            <w:webHidden/>
          </w:rPr>
          <w:tab/>
        </w:r>
        <w:r>
          <w:rPr>
            <w:webHidden/>
          </w:rPr>
          <w:fldChar w:fldCharType="begin"/>
        </w:r>
        <w:r>
          <w:rPr>
            <w:webHidden/>
          </w:rPr>
          <w:instrText xml:space="preserve"> PAGEREF _Toc296778001 \h </w:instrText>
        </w:r>
        <w:r>
          <w:rPr>
            <w:webHidden/>
          </w:rPr>
          <w:fldChar w:fldCharType="separate"/>
        </w:r>
        <w:r>
          <w:rPr>
            <w:webHidden/>
          </w:rPr>
          <w:t>3</w:t>
        </w:r>
        <w:r>
          <w:rPr>
            <w:webHidden/>
          </w:rPr>
          <w:fldChar w:fldCharType="end"/>
        </w:r>
      </w:hyperlink>
    </w:p>
    <w:p w:rsidR="00374656" w:rsidRDefault="00374656" w:rsidP="001E23EF">
      <w:pPr>
        <w:pStyle w:val="TOC2"/>
        <w:tabs>
          <w:tab w:val="right" w:leader="dot" w:pos="9062"/>
        </w:tabs>
        <w:rPr>
          <w:rFonts w:ascii="Calibri" w:hAnsi="Calibri" w:cs="Calibri"/>
          <w:noProof/>
          <w:lang w:eastAsia="nl-NL"/>
        </w:rPr>
      </w:pPr>
      <w:hyperlink w:anchor="_Toc296778002" w:history="1">
        <w:r>
          <w:rPr>
            <w:rStyle w:val="Hyperlink"/>
            <w:noProof/>
          </w:rPr>
          <w:t>Hoofdstuk 1</w:t>
        </w:r>
        <w:r>
          <w:rPr>
            <w:noProof/>
            <w:webHidden/>
          </w:rPr>
          <w:tab/>
        </w:r>
        <w:r>
          <w:rPr>
            <w:noProof/>
            <w:webHidden/>
          </w:rPr>
          <w:fldChar w:fldCharType="begin"/>
        </w:r>
        <w:r>
          <w:rPr>
            <w:noProof/>
            <w:webHidden/>
          </w:rPr>
          <w:instrText xml:space="preserve"> PAGEREF _Toc296778002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03" w:history="1">
        <w:r>
          <w:rPr>
            <w:rStyle w:val="Hyperlink"/>
            <w:noProof/>
          </w:rPr>
          <w:t>1.1 De inleiding</w:t>
        </w:r>
        <w:r>
          <w:rPr>
            <w:noProof/>
            <w:webHidden/>
          </w:rPr>
          <w:tab/>
        </w:r>
        <w:r>
          <w:rPr>
            <w:noProof/>
            <w:webHidden/>
          </w:rPr>
          <w:fldChar w:fldCharType="begin"/>
        </w:r>
        <w:r>
          <w:rPr>
            <w:noProof/>
            <w:webHidden/>
          </w:rPr>
          <w:instrText xml:space="preserve"> PAGEREF _Toc296778003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04" w:history="1">
        <w:r>
          <w:rPr>
            <w:rStyle w:val="Hyperlink"/>
            <w:noProof/>
          </w:rPr>
          <w:t>1.2 De probleemstelling en de bijbehorende deelvragen</w:t>
        </w:r>
        <w:r>
          <w:rPr>
            <w:noProof/>
            <w:webHidden/>
          </w:rPr>
          <w:tab/>
        </w:r>
        <w:r>
          <w:rPr>
            <w:noProof/>
            <w:webHidden/>
          </w:rPr>
          <w:fldChar w:fldCharType="begin"/>
        </w:r>
        <w:r>
          <w:rPr>
            <w:noProof/>
            <w:webHidden/>
          </w:rPr>
          <w:instrText xml:space="preserve"> PAGEREF _Toc296778004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05" w:history="1">
        <w:r>
          <w:rPr>
            <w:rStyle w:val="Hyperlink"/>
            <w:noProof/>
          </w:rPr>
          <w:t>1.3 De doelstelling, relevantie en relatie met het vakgebied</w:t>
        </w:r>
        <w:r>
          <w:rPr>
            <w:noProof/>
            <w:webHidden/>
          </w:rPr>
          <w:tab/>
        </w:r>
        <w:r>
          <w:rPr>
            <w:noProof/>
            <w:webHidden/>
          </w:rPr>
          <w:fldChar w:fldCharType="begin"/>
        </w:r>
        <w:r>
          <w:rPr>
            <w:noProof/>
            <w:webHidden/>
          </w:rPr>
          <w:instrText xml:space="preserve"> PAGEREF _Toc296778005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06" w:history="1">
        <w:r>
          <w:rPr>
            <w:rStyle w:val="Hyperlink"/>
            <w:noProof/>
          </w:rPr>
          <w:t>1.4 De methodiek, afbakening en onderliggende theorie</w:t>
        </w:r>
        <w:r>
          <w:rPr>
            <w:noProof/>
            <w:webHidden/>
          </w:rPr>
          <w:tab/>
        </w:r>
        <w:r>
          <w:rPr>
            <w:noProof/>
            <w:webHidden/>
          </w:rPr>
          <w:fldChar w:fldCharType="begin"/>
        </w:r>
        <w:r>
          <w:rPr>
            <w:noProof/>
            <w:webHidden/>
          </w:rPr>
          <w:instrText xml:space="preserve"> PAGEREF _Toc296778006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1"/>
        <w:rPr>
          <w:rFonts w:ascii="Calibri" w:hAnsi="Calibri" w:cs="Calibri"/>
          <w:lang w:eastAsia="nl-NL"/>
        </w:rPr>
      </w:pPr>
      <w:hyperlink w:anchor="_Toc296778007" w:history="1">
        <w:r>
          <w:rPr>
            <w:rStyle w:val="Hyperlink"/>
            <w:lang w:val="en-US"/>
          </w:rPr>
          <w:t>Introductie: IFRS for SMEs</w:t>
        </w:r>
        <w:r>
          <w:rPr>
            <w:webHidden/>
          </w:rPr>
          <w:tab/>
        </w:r>
        <w:r>
          <w:rPr>
            <w:webHidden/>
          </w:rPr>
          <w:fldChar w:fldCharType="begin"/>
        </w:r>
        <w:r>
          <w:rPr>
            <w:webHidden/>
          </w:rPr>
          <w:instrText xml:space="preserve"> PAGEREF _Toc296778007 \h </w:instrText>
        </w:r>
        <w:r>
          <w:rPr>
            <w:webHidden/>
          </w:rPr>
          <w:fldChar w:fldCharType="separate"/>
        </w:r>
        <w:r>
          <w:rPr>
            <w:webHidden/>
          </w:rPr>
          <w:t>3</w:t>
        </w:r>
        <w:r>
          <w:rPr>
            <w:webHidden/>
          </w:rPr>
          <w:fldChar w:fldCharType="end"/>
        </w:r>
      </w:hyperlink>
    </w:p>
    <w:p w:rsidR="00374656" w:rsidRDefault="00374656" w:rsidP="001E23EF">
      <w:pPr>
        <w:pStyle w:val="TOC2"/>
        <w:tabs>
          <w:tab w:val="right" w:leader="dot" w:pos="9062"/>
        </w:tabs>
        <w:rPr>
          <w:rFonts w:ascii="Calibri" w:hAnsi="Calibri" w:cs="Calibri"/>
          <w:noProof/>
          <w:lang w:eastAsia="nl-NL"/>
        </w:rPr>
      </w:pPr>
      <w:hyperlink w:anchor="_Toc296778008" w:history="1">
        <w:r>
          <w:rPr>
            <w:rStyle w:val="Hyperlink"/>
            <w:noProof/>
            <w:lang w:val="en-US"/>
          </w:rPr>
          <w:t>Hoofdstuk 2: De IFRS for SMEs</w:t>
        </w:r>
        <w:r>
          <w:rPr>
            <w:noProof/>
            <w:webHidden/>
          </w:rPr>
          <w:tab/>
        </w:r>
        <w:r>
          <w:rPr>
            <w:noProof/>
            <w:webHidden/>
          </w:rPr>
          <w:fldChar w:fldCharType="begin"/>
        </w:r>
        <w:r>
          <w:rPr>
            <w:noProof/>
            <w:webHidden/>
          </w:rPr>
          <w:instrText xml:space="preserve"> PAGEREF _Toc296778008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09" w:history="1">
        <w:r>
          <w:rPr>
            <w:rStyle w:val="Hyperlink"/>
            <w:noProof/>
          </w:rPr>
          <w:t>2.1 De ontwikkeling van de IASB</w:t>
        </w:r>
        <w:r>
          <w:rPr>
            <w:noProof/>
            <w:webHidden/>
          </w:rPr>
          <w:tab/>
        </w:r>
        <w:r>
          <w:rPr>
            <w:noProof/>
            <w:webHidden/>
          </w:rPr>
          <w:fldChar w:fldCharType="begin"/>
        </w:r>
        <w:r>
          <w:rPr>
            <w:noProof/>
            <w:webHidden/>
          </w:rPr>
          <w:instrText xml:space="preserve"> PAGEREF _Toc296778009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10" w:history="1">
        <w:r>
          <w:rPr>
            <w:rStyle w:val="Hyperlink"/>
            <w:noProof/>
          </w:rPr>
          <w:t>2.2 De IFRS for SMEs</w:t>
        </w:r>
        <w:r>
          <w:rPr>
            <w:noProof/>
            <w:webHidden/>
          </w:rPr>
          <w:tab/>
        </w:r>
        <w:r>
          <w:rPr>
            <w:noProof/>
            <w:webHidden/>
          </w:rPr>
          <w:fldChar w:fldCharType="begin"/>
        </w:r>
        <w:r>
          <w:rPr>
            <w:noProof/>
            <w:webHidden/>
          </w:rPr>
          <w:instrText xml:space="preserve"> PAGEREF _Toc296778010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15" w:history="1">
        <w:r>
          <w:rPr>
            <w:rStyle w:val="Hyperlink"/>
            <w:noProof/>
            <w:lang w:val="en-US"/>
          </w:rPr>
          <w:t>2.3 De IFRS for SMEs versus full-IFRS</w:t>
        </w:r>
        <w:r>
          <w:rPr>
            <w:noProof/>
            <w:webHidden/>
          </w:rPr>
          <w:tab/>
        </w:r>
        <w:r>
          <w:rPr>
            <w:noProof/>
            <w:webHidden/>
          </w:rPr>
          <w:fldChar w:fldCharType="begin"/>
        </w:r>
        <w:r>
          <w:rPr>
            <w:noProof/>
            <w:webHidden/>
          </w:rPr>
          <w:instrText xml:space="preserve"> PAGEREF _Toc296778015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16" w:history="1">
        <w:r>
          <w:rPr>
            <w:rStyle w:val="Hyperlink"/>
            <w:noProof/>
          </w:rPr>
          <w:t>2.4 De conclusie</w:t>
        </w:r>
        <w:r>
          <w:rPr>
            <w:noProof/>
            <w:webHidden/>
          </w:rPr>
          <w:tab/>
        </w:r>
        <w:r>
          <w:rPr>
            <w:noProof/>
            <w:webHidden/>
          </w:rPr>
          <w:fldChar w:fldCharType="begin"/>
        </w:r>
        <w:r>
          <w:rPr>
            <w:noProof/>
            <w:webHidden/>
          </w:rPr>
          <w:instrText xml:space="preserve"> PAGEREF _Toc296778016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1"/>
        <w:rPr>
          <w:rFonts w:ascii="Calibri" w:hAnsi="Calibri" w:cs="Calibri"/>
          <w:lang w:eastAsia="nl-NL"/>
        </w:rPr>
      </w:pPr>
      <w:hyperlink w:anchor="_Toc296778017" w:history="1">
        <w:r>
          <w:rPr>
            <w:rStyle w:val="Hyperlink"/>
          </w:rPr>
          <w:t>Het theoretisch kader</w:t>
        </w:r>
        <w:r>
          <w:rPr>
            <w:webHidden/>
          </w:rPr>
          <w:tab/>
        </w:r>
        <w:r>
          <w:rPr>
            <w:webHidden/>
          </w:rPr>
          <w:fldChar w:fldCharType="begin"/>
        </w:r>
        <w:r>
          <w:rPr>
            <w:webHidden/>
          </w:rPr>
          <w:instrText xml:space="preserve"> PAGEREF _Toc296778017 \h </w:instrText>
        </w:r>
        <w:r>
          <w:rPr>
            <w:webHidden/>
          </w:rPr>
          <w:fldChar w:fldCharType="separate"/>
        </w:r>
        <w:r>
          <w:rPr>
            <w:webHidden/>
          </w:rPr>
          <w:t>3</w:t>
        </w:r>
        <w:r>
          <w:rPr>
            <w:webHidden/>
          </w:rPr>
          <w:fldChar w:fldCharType="end"/>
        </w:r>
      </w:hyperlink>
    </w:p>
    <w:p w:rsidR="00374656" w:rsidRDefault="00374656" w:rsidP="001E23EF">
      <w:pPr>
        <w:pStyle w:val="TOC2"/>
        <w:tabs>
          <w:tab w:val="right" w:leader="dot" w:pos="9062"/>
        </w:tabs>
        <w:rPr>
          <w:rFonts w:ascii="Calibri" w:hAnsi="Calibri" w:cs="Calibri"/>
          <w:noProof/>
          <w:lang w:eastAsia="nl-NL"/>
        </w:rPr>
      </w:pPr>
      <w:hyperlink w:anchor="_Toc296778018" w:history="1">
        <w:r>
          <w:rPr>
            <w:rStyle w:val="Hyperlink"/>
            <w:noProof/>
          </w:rPr>
          <w:t>Hoofdstuk 3: De factoren</w:t>
        </w:r>
        <w:r>
          <w:rPr>
            <w:noProof/>
            <w:webHidden/>
          </w:rPr>
          <w:tab/>
        </w:r>
        <w:r>
          <w:rPr>
            <w:noProof/>
            <w:webHidden/>
          </w:rPr>
          <w:fldChar w:fldCharType="begin"/>
        </w:r>
        <w:r>
          <w:rPr>
            <w:noProof/>
            <w:webHidden/>
          </w:rPr>
          <w:instrText xml:space="preserve"> PAGEREF _Toc296778018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19" w:history="1">
        <w:r>
          <w:rPr>
            <w:rStyle w:val="Hyperlink"/>
            <w:noProof/>
          </w:rPr>
          <w:t>3.1 De cultuur</w:t>
        </w:r>
        <w:r>
          <w:rPr>
            <w:noProof/>
            <w:webHidden/>
          </w:rPr>
          <w:tab/>
        </w:r>
        <w:r>
          <w:rPr>
            <w:noProof/>
            <w:webHidden/>
          </w:rPr>
          <w:fldChar w:fldCharType="begin"/>
        </w:r>
        <w:r>
          <w:rPr>
            <w:noProof/>
            <w:webHidden/>
          </w:rPr>
          <w:instrText xml:space="preserve"> PAGEREF _Toc296778019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20" w:history="1">
        <w:r>
          <w:rPr>
            <w:rStyle w:val="Hyperlink"/>
            <w:noProof/>
          </w:rPr>
          <w:t>3.2 De belastingregulering</w:t>
        </w:r>
        <w:r>
          <w:rPr>
            <w:noProof/>
            <w:webHidden/>
          </w:rPr>
          <w:tab/>
        </w:r>
        <w:r>
          <w:rPr>
            <w:noProof/>
            <w:webHidden/>
          </w:rPr>
          <w:fldChar w:fldCharType="begin"/>
        </w:r>
        <w:r>
          <w:rPr>
            <w:noProof/>
            <w:webHidden/>
          </w:rPr>
          <w:instrText xml:space="preserve"> PAGEREF _Toc296778020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21" w:history="1">
        <w:r>
          <w:rPr>
            <w:rStyle w:val="Hyperlink"/>
            <w:noProof/>
          </w:rPr>
          <w:t>3.3 De gebruikers van de financiële verslagen</w:t>
        </w:r>
        <w:r>
          <w:rPr>
            <w:noProof/>
            <w:webHidden/>
          </w:rPr>
          <w:tab/>
        </w:r>
        <w:r>
          <w:rPr>
            <w:noProof/>
            <w:webHidden/>
          </w:rPr>
          <w:fldChar w:fldCharType="begin"/>
        </w:r>
        <w:r>
          <w:rPr>
            <w:noProof/>
            <w:webHidden/>
          </w:rPr>
          <w:instrText xml:space="preserve"> PAGEREF _Toc296778021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22" w:history="1">
        <w:r>
          <w:rPr>
            <w:rStyle w:val="Hyperlink"/>
            <w:noProof/>
          </w:rPr>
          <w:t>3.4 Kosten- en batenanalyse</w:t>
        </w:r>
        <w:r>
          <w:rPr>
            <w:noProof/>
            <w:webHidden/>
          </w:rPr>
          <w:tab/>
        </w:r>
        <w:r>
          <w:rPr>
            <w:noProof/>
            <w:webHidden/>
          </w:rPr>
          <w:fldChar w:fldCharType="begin"/>
        </w:r>
        <w:r>
          <w:rPr>
            <w:noProof/>
            <w:webHidden/>
          </w:rPr>
          <w:instrText xml:space="preserve"> PAGEREF _Toc296778022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25" w:history="1">
        <w:r>
          <w:rPr>
            <w:rStyle w:val="Hyperlink"/>
            <w:noProof/>
          </w:rPr>
          <w:t>3.5 De conclusie</w:t>
        </w:r>
        <w:r>
          <w:rPr>
            <w:noProof/>
            <w:webHidden/>
          </w:rPr>
          <w:tab/>
        </w:r>
        <w:r>
          <w:rPr>
            <w:noProof/>
            <w:webHidden/>
          </w:rPr>
          <w:fldChar w:fldCharType="begin"/>
        </w:r>
        <w:r>
          <w:rPr>
            <w:noProof/>
            <w:webHidden/>
          </w:rPr>
          <w:instrText xml:space="preserve"> PAGEREF _Toc296778025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1"/>
        <w:rPr>
          <w:rFonts w:ascii="Calibri" w:hAnsi="Calibri" w:cs="Calibri"/>
          <w:lang w:eastAsia="nl-NL"/>
        </w:rPr>
      </w:pPr>
      <w:hyperlink w:anchor="_Toc296778026" w:history="1">
        <w:r>
          <w:rPr>
            <w:rStyle w:val="Hyperlink"/>
          </w:rPr>
          <w:t>Het empirisch kader</w:t>
        </w:r>
        <w:r>
          <w:rPr>
            <w:webHidden/>
          </w:rPr>
          <w:tab/>
        </w:r>
        <w:r>
          <w:rPr>
            <w:webHidden/>
          </w:rPr>
          <w:fldChar w:fldCharType="begin"/>
        </w:r>
        <w:r>
          <w:rPr>
            <w:webHidden/>
          </w:rPr>
          <w:instrText xml:space="preserve"> PAGEREF _Toc296778026 \h </w:instrText>
        </w:r>
        <w:r>
          <w:rPr>
            <w:webHidden/>
          </w:rPr>
          <w:fldChar w:fldCharType="separate"/>
        </w:r>
        <w:r>
          <w:rPr>
            <w:webHidden/>
          </w:rPr>
          <w:t>3</w:t>
        </w:r>
        <w:r>
          <w:rPr>
            <w:webHidden/>
          </w:rPr>
          <w:fldChar w:fldCharType="end"/>
        </w:r>
      </w:hyperlink>
    </w:p>
    <w:p w:rsidR="00374656" w:rsidRDefault="00374656" w:rsidP="001E23EF">
      <w:pPr>
        <w:pStyle w:val="TOC2"/>
        <w:tabs>
          <w:tab w:val="right" w:leader="dot" w:pos="9062"/>
        </w:tabs>
        <w:rPr>
          <w:rFonts w:ascii="Calibri" w:hAnsi="Calibri" w:cs="Calibri"/>
          <w:noProof/>
          <w:lang w:eastAsia="nl-NL"/>
        </w:rPr>
      </w:pPr>
      <w:hyperlink w:anchor="_Toc296778027" w:history="1">
        <w:r>
          <w:rPr>
            <w:rStyle w:val="Hyperlink"/>
            <w:noProof/>
          </w:rPr>
          <w:t>Hoofdstuk 4: De verschillende zienswijzen in Europa</w:t>
        </w:r>
        <w:r>
          <w:rPr>
            <w:noProof/>
            <w:webHidden/>
          </w:rPr>
          <w:tab/>
        </w:r>
        <w:r>
          <w:rPr>
            <w:noProof/>
            <w:webHidden/>
          </w:rPr>
          <w:fldChar w:fldCharType="begin"/>
        </w:r>
        <w:r>
          <w:rPr>
            <w:noProof/>
            <w:webHidden/>
          </w:rPr>
          <w:instrText xml:space="preserve"> PAGEREF _Toc296778027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28" w:history="1">
        <w:r>
          <w:rPr>
            <w:rStyle w:val="Hyperlink"/>
            <w:noProof/>
          </w:rPr>
          <w:t>4.1 De aard van de onderzoeken</w:t>
        </w:r>
        <w:r>
          <w:rPr>
            <w:noProof/>
            <w:webHidden/>
          </w:rPr>
          <w:tab/>
        </w:r>
        <w:r>
          <w:rPr>
            <w:noProof/>
            <w:webHidden/>
          </w:rPr>
          <w:fldChar w:fldCharType="begin"/>
        </w:r>
        <w:r>
          <w:rPr>
            <w:noProof/>
            <w:webHidden/>
          </w:rPr>
          <w:instrText xml:space="preserve"> PAGEREF _Toc296778028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29" w:history="1">
        <w:r>
          <w:rPr>
            <w:rStyle w:val="Hyperlink"/>
            <w:noProof/>
          </w:rPr>
          <w:t>4.2 Nederland</w:t>
        </w:r>
        <w:r>
          <w:rPr>
            <w:noProof/>
            <w:webHidden/>
          </w:rPr>
          <w:tab/>
        </w:r>
        <w:r>
          <w:rPr>
            <w:noProof/>
            <w:webHidden/>
          </w:rPr>
          <w:fldChar w:fldCharType="begin"/>
        </w:r>
        <w:r>
          <w:rPr>
            <w:noProof/>
            <w:webHidden/>
          </w:rPr>
          <w:instrText xml:space="preserve"> PAGEREF _Toc296778029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30" w:history="1">
        <w:r>
          <w:rPr>
            <w:rStyle w:val="Hyperlink"/>
            <w:noProof/>
          </w:rPr>
          <w:t>4.3 Duitsland</w:t>
        </w:r>
        <w:r>
          <w:rPr>
            <w:noProof/>
            <w:webHidden/>
          </w:rPr>
          <w:tab/>
        </w:r>
        <w:r>
          <w:rPr>
            <w:noProof/>
            <w:webHidden/>
          </w:rPr>
          <w:fldChar w:fldCharType="begin"/>
        </w:r>
        <w:r>
          <w:rPr>
            <w:noProof/>
            <w:webHidden/>
          </w:rPr>
          <w:instrText xml:space="preserve"> PAGEREF _Toc296778030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31" w:history="1">
        <w:r>
          <w:rPr>
            <w:rStyle w:val="Hyperlink"/>
            <w:noProof/>
          </w:rPr>
          <w:t>4.4 Frankrijk en Italië</w:t>
        </w:r>
        <w:r>
          <w:rPr>
            <w:noProof/>
            <w:webHidden/>
          </w:rPr>
          <w:tab/>
        </w:r>
        <w:r>
          <w:rPr>
            <w:noProof/>
            <w:webHidden/>
          </w:rPr>
          <w:fldChar w:fldCharType="begin"/>
        </w:r>
        <w:r>
          <w:rPr>
            <w:noProof/>
            <w:webHidden/>
          </w:rPr>
          <w:instrText xml:space="preserve"> PAGEREF _Toc296778031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32" w:history="1">
        <w:r>
          <w:rPr>
            <w:rStyle w:val="Hyperlink"/>
            <w:noProof/>
          </w:rPr>
          <w:t>4.5 Verenigd Koninkrijk</w:t>
        </w:r>
        <w:r>
          <w:rPr>
            <w:noProof/>
            <w:webHidden/>
          </w:rPr>
          <w:tab/>
        </w:r>
        <w:r>
          <w:rPr>
            <w:noProof/>
            <w:webHidden/>
          </w:rPr>
          <w:fldChar w:fldCharType="begin"/>
        </w:r>
        <w:r>
          <w:rPr>
            <w:noProof/>
            <w:webHidden/>
          </w:rPr>
          <w:instrText xml:space="preserve"> PAGEREF _Toc296778032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33" w:history="1">
        <w:r>
          <w:rPr>
            <w:rStyle w:val="Hyperlink"/>
            <w:noProof/>
          </w:rPr>
          <w:t>4.6 Zweden</w:t>
        </w:r>
        <w:r>
          <w:rPr>
            <w:noProof/>
            <w:webHidden/>
          </w:rPr>
          <w:tab/>
        </w:r>
        <w:r>
          <w:rPr>
            <w:noProof/>
            <w:webHidden/>
          </w:rPr>
          <w:fldChar w:fldCharType="begin"/>
        </w:r>
        <w:r>
          <w:rPr>
            <w:noProof/>
            <w:webHidden/>
          </w:rPr>
          <w:instrText xml:space="preserve"> PAGEREF _Toc296778033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1"/>
        <w:rPr>
          <w:rFonts w:ascii="Calibri" w:hAnsi="Calibri" w:cs="Calibri"/>
          <w:lang w:eastAsia="nl-NL"/>
        </w:rPr>
      </w:pPr>
      <w:hyperlink w:anchor="_Toc296778034" w:history="1">
        <w:r>
          <w:rPr>
            <w:rStyle w:val="Hyperlink"/>
          </w:rPr>
          <w:t>De analyse</w:t>
        </w:r>
        <w:r>
          <w:rPr>
            <w:webHidden/>
          </w:rPr>
          <w:tab/>
        </w:r>
        <w:r>
          <w:rPr>
            <w:webHidden/>
          </w:rPr>
          <w:fldChar w:fldCharType="begin"/>
        </w:r>
        <w:r>
          <w:rPr>
            <w:webHidden/>
          </w:rPr>
          <w:instrText xml:space="preserve"> PAGEREF _Toc296778034 \h </w:instrText>
        </w:r>
        <w:r>
          <w:rPr>
            <w:webHidden/>
          </w:rPr>
          <w:fldChar w:fldCharType="separate"/>
        </w:r>
        <w:r>
          <w:rPr>
            <w:webHidden/>
          </w:rPr>
          <w:t>3</w:t>
        </w:r>
        <w:r>
          <w:rPr>
            <w:webHidden/>
          </w:rPr>
          <w:fldChar w:fldCharType="end"/>
        </w:r>
      </w:hyperlink>
    </w:p>
    <w:p w:rsidR="00374656" w:rsidRDefault="00374656" w:rsidP="001E23EF">
      <w:pPr>
        <w:pStyle w:val="TOC2"/>
        <w:tabs>
          <w:tab w:val="right" w:leader="dot" w:pos="9062"/>
        </w:tabs>
        <w:rPr>
          <w:rFonts w:ascii="Calibri" w:hAnsi="Calibri" w:cs="Calibri"/>
          <w:noProof/>
          <w:lang w:eastAsia="nl-NL"/>
        </w:rPr>
      </w:pPr>
      <w:hyperlink w:anchor="_Toc296778035" w:history="1">
        <w:r>
          <w:rPr>
            <w:rStyle w:val="Hyperlink"/>
            <w:noProof/>
          </w:rPr>
          <w:t>Hoofdstuk 5</w:t>
        </w:r>
        <w:r>
          <w:rPr>
            <w:noProof/>
            <w:webHidden/>
          </w:rPr>
          <w:tab/>
        </w:r>
        <w:r>
          <w:rPr>
            <w:noProof/>
            <w:webHidden/>
          </w:rPr>
          <w:fldChar w:fldCharType="begin"/>
        </w:r>
        <w:r>
          <w:rPr>
            <w:noProof/>
            <w:webHidden/>
          </w:rPr>
          <w:instrText xml:space="preserve"> PAGEREF _Toc296778035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36" w:history="1">
        <w:r>
          <w:rPr>
            <w:rStyle w:val="Hyperlink"/>
            <w:noProof/>
          </w:rPr>
          <w:t>5.1 Percepties van landen</w:t>
        </w:r>
        <w:r>
          <w:rPr>
            <w:noProof/>
            <w:webHidden/>
          </w:rPr>
          <w:tab/>
        </w:r>
        <w:r>
          <w:rPr>
            <w:noProof/>
            <w:webHidden/>
          </w:rPr>
          <w:fldChar w:fldCharType="begin"/>
        </w:r>
        <w:r>
          <w:rPr>
            <w:noProof/>
            <w:webHidden/>
          </w:rPr>
          <w:instrText xml:space="preserve"> PAGEREF _Toc296778036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3"/>
        <w:rPr>
          <w:rFonts w:ascii="Calibri" w:hAnsi="Calibri" w:cs="Calibri"/>
          <w:noProof/>
          <w:lang w:eastAsia="nl-NL"/>
        </w:rPr>
      </w:pPr>
      <w:hyperlink w:anchor="_Toc296778037" w:history="1">
        <w:r>
          <w:rPr>
            <w:rStyle w:val="Hyperlink"/>
            <w:noProof/>
          </w:rPr>
          <w:t>5.1 Algemene perceptie van Europa</w:t>
        </w:r>
        <w:r>
          <w:rPr>
            <w:noProof/>
            <w:webHidden/>
          </w:rPr>
          <w:tab/>
        </w:r>
        <w:r>
          <w:rPr>
            <w:noProof/>
            <w:webHidden/>
          </w:rPr>
          <w:fldChar w:fldCharType="begin"/>
        </w:r>
        <w:r>
          <w:rPr>
            <w:noProof/>
            <w:webHidden/>
          </w:rPr>
          <w:instrText xml:space="preserve"> PAGEREF _Toc296778037 \h </w:instrText>
        </w:r>
        <w:r>
          <w:rPr>
            <w:noProof/>
          </w:rPr>
        </w:r>
        <w:r>
          <w:rPr>
            <w:noProof/>
            <w:webHidden/>
          </w:rPr>
          <w:fldChar w:fldCharType="separate"/>
        </w:r>
        <w:r>
          <w:rPr>
            <w:noProof/>
            <w:webHidden/>
          </w:rPr>
          <w:t>3</w:t>
        </w:r>
        <w:r>
          <w:rPr>
            <w:noProof/>
            <w:webHidden/>
          </w:rPr>
          <w:fldChar w:fldCharType="end"/>
        </w:r>
      </w:hyperlink>
    </w:p>
    <w:p w:rsidR="00374656" w:rsidRDefault="00374656" w:rsidP="001E23EF">
      <w:pPr>
        <w:pStyle w:val="TOC1"/>
        <w:rPr>
          <w:rFonts w:ascii="Calibri" w:hAnsi="Calibri" w:cs="Calibri"/>
          <w:lang w:eastAsia="nl-NL"/>
        </w:rPr>
      </w:pPr>
      <w:hyperlink w:anchor="_Toc296778038" w:history="1">
        <w:r>
          <w:rPr>
            <w:rStyle w:val="Hyperlink"/>
          </w:rPr>
          <w:t>Samenvatting en Conclusie</w:t>
        </w:r>
        <w:r>
          <w:rPr>
            <w:webHidden/>
          </w:rPr>
          <w:tab/>
        </w:r>
        <w:r>
          <w:rPr>
            <w:webHidden/>
          </w:rPr>
          <w:fldChar w:fldCharType="begin"/>
        </w:r>
        <w:r>
          <w:rPr>
            <w:webHidden/>
          </w:rPr>
          <w:instrText xml:space="preserve"> PAGEREF _Toc296778038 \h </w:instrText>
        </w:r>
        <w:r>
          <w:rPr>
            <w:webHidden/>
          </w:rPr>
          <w:fldChar w:fldCharType="separate"/>
        </w:r>
        <w:r>
          <w:rPr>
            <w:webHidden/>
          </w:rPr>
          <w:t>3</w:t>
        </w:r>
        <w:r>
          <w:rPr>
            <w:webHidden/>
          </w:rPr>
          <w:fldChar w:fldCharType="end"/>
        </w:r>
      </w:hyperlink>
    </w:p>
    <w:p w:rsidR="00374656" w:rsidRDefault="00374656" w:rsidP="001E23EF">
      <w:pPr>
        <w:pStyle w:val="TOC1"/>
        <w:rPr>
          <w:rFonts w:ascii="Calibri" w:hAnsi="Calibri" w:cs="Calibri"/>
          <w:lang w:eastAsia="nl-NL"/>
        </w:rPr>
      </w:pPr>
      <w:hyperlink w:anchor="_Toc296778039" w:history="1">
        <w:r>
          <w:rPr>
            <w:rStyle w:val="Hyperlink"/>
          </w:rPr>
          <w:t>Literatuur</w:t>
        </w:r>
        <w:r>
          <w:rPr>
            <w:webHidden/>
          </w:rPr>
          <w:tab/>
        </w:r>
        <w:r>
          <w:rPr>
            <w:webHidden/>
          </w:rPr>
          <w:fldChar w:fldCharType="begin"/>
        </w:r>
        <w:r>
          <w:rPr>
            <w:webHidden/>
          </w:rPr>
          <w:instrText xml:space="preserve"> PAGEREF _Toc296778039 \h </w:instrText>
        </w:r>
        <w:r>
          <w:rPr>
            <w:webHidden/>
          </w:rPr>
          <w:fldChar w:fldCharType="separate"/>
        </w:r>
        <w:r>
          <w:rPr>
            <w:webHidden/>
          </w:rPr>
          <w:t>3</w:t>
        </w:r>
        <w:r>
          <w:rPr>
            <w:webHidden/>
          </w:rPr>
          <w:fldChar w:fldCharType="end"/>
        </w:r>
      </w:hyperlink>
    </w:p>
    <w:p w:rsidR="00374656" w:rsidRDefault="00374656" w:rsidP="001E23EF">
      <w:pPr>
        <w:pStyle w:val="TOC1"/>
        <w:rPr>
          <w:rFonts w:ascii="Calibri" w:hAnsi="Calibri" w:cs="Calibri"/>
          <w:lang w:eastAsia="nl-NL"/>
        </w:rPr>
      </w:pPr>
      <w:hyperlink w:anchor="_Toc296778040" w:history="1">
        <w:r>
          <w:rPr>
            <w:rStyle w:val="Hyperlink"/>
            <w:lang w:val="en-US"/>
          </w:rPr>
          <w:t>Bijlage A: IFRS for SMEs versus full-IFRS</w:t>
        </w:r>
        <w:r>
          <w:rPr>
            <w:webHidden/>
          </w:rPr>
          <w:tab/>
        </w:r>
        <w:r>
          <w:rPr>
            <w:webHidden/>
          </w:rPr>
          <w:fldChar w:fldCharType="begin"/>
        </w:r>
        <w:r>
          <w:rPr>
            <w:webHidden/>
          </w:rPr>
          <w:instrText xml:space="preserve"> PAGEREF _Toc296778040 \h </w:instrText>
        </w:r>
        <w:r>
          <w:rPr>
            <w:webHidden/>
          </w:rPr>
          <w:fldChar w:fldCharType="separate"/>
        </w:r>
        <w:r>
          <w:rPr>
            <w:webHidden/>
          </w:rPr>
          <w:t>3</w:t>
        </w:r>
        <w:r>
          <w:rPr>
            <w:webHidden/>
          </w:rPr>
          <w:fldChar w:fldCharType="end"/>
        </w:r>
      </w:hyperlink>
    </w:p>
    <w:p w:rsidR="00374656" w:rsidRDefault="00374656" w:rsidP="001E23EF">
      <w:pPr>
        <w:pStyle w:val="TOC1"/>
        <w:rPr>
          <w:rFonts w:ascii="Calibri" w:hAnsi="Calibri" w:cs="Calibri"/>
          <w:lang w:eastAsia="nl-NL"/>
        </w:rPr>
      </w:pPr>
      <w:hyperlink w:anchor="_Toc296778041" w:history="1">
        <w:r>
          <w:rPr>
            <w:rStyle w:val="Hyperlink"/>
          </w:rPr>
          <w:t>Bijlage B: Empirische onderzoeken</w:t>
        </w:r>
        <w:r>
          <w:rPr>
            <w:webHidden/>
          </w:rPr>
          <w:tab/>
        </w:r>
        <w:r>
          <w:rPr>
            <w:webHidden/>
          </w:rPr>
          <w:fldChar w:fldCharType="begin"/>
        </w:r>
        <w:r>
          <w:rPr>
            <w:webHidden/>
          </w:rPr>
          <w:instrText xml:space="preserve"> PAGEREF _Toc296778041 \h </w:instrText>
        </w:r>
        <w:r>
          <w:rPr>
            <w:webHidden/>
          </w:rPr>
          <w:fldChar w:fldCharType="separate"/>
        </w:r>
        <w:r>
          <w:rPr>
            <w:webHidden/>
          </w:rPr>
          <w:t>3</w:t>
        </w:r>
        <w:r>
          <w:rPr>
            <w:webHidden/>
          </w:rPr>
          <w:fldChar w:fldCharType="end"/>
        </w:r>
      </w:hyperlink>
    </w:p>
    <w:p w:rsidR="00374656" w:rsidRDefault="00374656" w:rsidP="001E23EF">
      <w:pPr>
        <w:pStyle w:val="TOC1"/>
        <w:rPr>
          <w:rFonts w:ascii="Calibri" w:hAnsi="Calibri" w:cs="Calibri"/>
          <w:lang w:eastAsia="nl-NL"/>
        </w:rPr>
      </w:pPr>
      <w:hyperlink w:anchor="_Toc296778042" w:history="1">
        <w:r>
          <w:rPr>
            <w:rStyle w:val="Hyperlink"/>
          </w:rPr>
          <w:t>Bijlage C: Samenvatting hoofdstuk 4</w:t>
        </w:r>
        <w:r>
          <w:rPr>
            <w:webHidden/>
          </w:rPr>
          <w:tab/>
        </w:r>
        <w:r>
          <w:rPr>
            <w:webHidden/>
          </w:rPr>
          <w:fldChar w:fldCharType="begin"/>
        </w:r>
        <w:r>
          <w:rPr>
            <w:webHidden/>
          </w:rPr>
          <w:instrText xml:space="preserve"> PAGEREF _Toc296778042 \h </w:instrText>
        </w:r>
        <w:r>
          <w:rPr>
            <w:webHidden/>
          </w:rPr>
          <w:fldChar w:fldCharType="separate"/>
        </w:r>
        <w:r>
          <w:rPr>
            <w:webHidden/>
          </w:rPr>
          <w:t>3</w:t>
        </w:r>
        <w:r>
          <w:rPr>
            <w:webHidden/>
          </w:rPr>
          <w:fldChar w:fldCharType="end"/>
        </w:r>
      </w:hyperlink>
    </w:p>
    <w:p w:rsidR="00374656" w:rsidRDefault="00374656" w:rsidP="001E23EF">
      <w:r>
        <w:fldChar w:fldCharType="end"/>
      </w:r>
    </w:p>
    <w:p w:rsidR="00374656" w:rsidRDefault="00374656" w:rsidP="001E23EF">
      <w:r>
        <w:br w:type="page"/>
      </w:r>
    </w:p>
    <w:p w:rsidR="00374656" w:rsidRDefault="00374656" w:rsidP="001E23EF">
      <w:pPr>
        <w:pStyle w:val="Heading1"/>
        <w:spacing w:line="336" w:lineRule="auto"/>
        <w:jc w:val="center"/>
      </w:pPr>
      <w:bookmarkStart w:id="0" w:name="_Toc296778001"/>
      <w:r>
        <w:t>Inleiding</w:t>
      </w:r>
      <w:bookmarkEnd w:id="0"/>
    </w:p>
    <w:p w:rsidR="00374656" w:rsidRDefault="00374656" w:rsidP="001E23EF">
      <w:pPr>
        <w:pStyle w:val="Heading2"/>
        <w:spacing w:line="336" w:lineRule="auto"/>
      </w:pPr>
      <w:bookmarkStart w:id="1" w:name="_Toc296778002"/>
      <w:r>
        <w:t>Hoofdstuk 1</w:t>
      </w:r>
      <w:bookmarkEnd w:id="1"/>
    </w:p>
    <w:p w:rsidR="00374656" w:rsidRDefault="00374656" w:rsidP="001E23EF">
      <w:pPr>
        <w:pStyle w:val="Heading3"/>
        <w:spacing w:line="336" w:lineRule="auto"/>
      </w:pPr>
      <w:bookmarkStart w:id="2" w:name="_Toc296778003"/>
      <w:r>
        <w:t>1.1 De inleiding</w:t>
      </w:r>
      <w:bookmarkEnd w:id="2"/>
    </w:p>
    <w:p w:rsidR="00374656" w:rsidRDefault="00374656" w:rsidP="001E23EF">
      <w:pPr>
        <w:rPr>
          <w:color w:val="000000"/>
        </w:rPr>
      </w:pPr>
      <w:r>
        <w:rPr>
          <w:color w:val="000000"/>
        </w:rPr>
        <w:t xml:space="preserve">Globalisering is een hedendaags verschijnsel dat steeds meer een belangrijke rol zal spelen. Ook op het gebied van de financiële verslaggeving is dit verschijnsel om de hoek gaan kijken. Op wereldniveau probeert de International Accounting Standards Board (IASB) standaarden te ontwikkelen met betrekking tot de financiële verslaggeving, oftewel de zogeheten International Financial Reporting Standards (IFRS). Dit zal de vergelijkbaarheid en de begrijpelijkheid van de jaarrekeningen voor de gebruikers van de financiële verslagen verbeteren. In 2005 werd deze doelstelling in grote mate waargemaakt doordat alle beursgenoteerde ondernemingen in Europa de standaarden van de IASB met betrekking tot het opstellen van de geconsolideerde jaarrekening verplicht zijn te volgen. Op de website van de IFRS staat dat inmiddels ruim honderd landen de standaarden van de IASB toepassen. Echter, ook voor niet-beursgenoteerde ondernemingen, oftewel de Small and Medium-sized Entities (SMEs), is informatie van hoge kwaliteit, hetgeen relevant, transparant en makkelijk te gebruiken dient te zijn, van belang. Immers, het merendeel (99,8%) van de ondernemingen in de EU bestaat uit midden- en kleinbedrijven (Expert Group European Comission, 2008). Deze ondernemingen zijn de key drivers van de economie. Hierdoor zijn veel nationale regelgevingen nog steeds van toepassing, hetgeen  in tegenspraak is met de doelstelling van de IASB. In 2007 heeft de IASB derhalve geprobeerd hier een eind aan te maken door de uitgave van een Exposure Draft waarin regels werden voorgesteld specifiek voor niet-beursgenoteerde ondernemingen, ook wel de ‘light-versie’ van de IFRS genoemd. Na lange tijd te hebben overwogen, werden deze standaarden definitief gepubliceerd in 2009, hetgeen betekent dat het bereiken van het doel van de IASB een stapje dichterbij is. Uit een poll van de IASB in 2009 is gebleken dat inmiddels vijfendertig landen van plan zijn deze standaarden binnen drie jaar in te voeren. De poll werd gehouden door Paul Pacter, de director van de SME-standaarden. Hieruit blijkt dat niet alle landen de intentie hebben de SME-standaarden in te voeren, zoals Duitsland en Frankrijk. Sommige landen zoals Brazilië, Ierland, Kosovo en Cyprus verplichten de boekhoudstandaard slechts voor drie jaar. In elf andere landen, o.a. de Verenigde Staten en Denemarken, zijn de SME-standaarden toegestaan maar niet verplicht. Ook bestaat een groep die twijfelt tussen dan wel vrijwillige toepassing hetzij de verplichting tot de toepassing van de SME-standaarden. Hieronder vallen vijf Europese landen en drie Scandinavische landen. De vraag rijst waarom de keuzes met betrekking tot de invoering van de SME-standaarden verschillen tussen de groepen landen. Aangezien harmonisatie en de globalisatie op financieel gebied hierdoor wordt belemmerd, is het van belang literatuuronderzoek te doen naar de factoren die bijdragen aan de verklaring van deze verschillen. </w:t>
      </w:r>
    </w:p>
    <w:p w:rsidR="00374656" w:rsidRDefault="00374656" w:rsidP="001E23EF">
      <w:pPr>
        <w:rPr>
          <w:color w:val="000000"/>
        </w:rPr>
      </w:pPr>
    </w:p>
    <w:p w:rsidR="00374656" w:rsidRDefault="00374656" w:rsidP="001E23EF">
      <w:pPr>
        <w:pStyle w:val="Heading3"/>
        <w:spacing w:line="336" w:lineRule="auto"/>
      </w:pPr>
      <w:bookmarkStart w:id="3" w:name="_Toc296778004"/>
      <w:r>
        <w:t>1.2 De probleemstelling en de bijbehorende deelvragen</w:t>
      </w:r>
      <w:bookmarkEnd w:id="3"/>
    </w:p>
    <w:p w:rsidR="00374656" w:rsidRDefault="00374656" w:rsidP="001E23EF">
      <w:pPr>
        <w:rPr>
          <w:color w:val="000000"/>
        </w:rPr>
      </w:pPr>
      <w:r>
        <w:rPr>
          <w:color w:val="000000"/>
        </w:rPr>
        <w:t>Zoals beschreven in de inleiding verschillen landen in de mate van bereidheid tot de invoering van de SME-standaarden. In deze scriptie zal een literatuuronderzoek worden gedaan naar de factoren die deze verschillen doen ontstaan. De centrale probleemstelling van deze scriptie is:</w:t>
      </w:r>
    </w:p>
    <w:p w:rsidR="00374656" w:rsidRDefault="00374656" w:rsidP="001E23EF">
      <w:pPr>
        <w:rPr>
          <w:i/>
          <w:iCs/>
          <w:color w:val="000000"/>
        </w:rPr>
      </w:pPr>
      <w:r>
        <w:rPr>
          <w:i/>
          <w:iCs/>
          <w:color w:val="000000"/>
        </w:rPr>
        <w:t xml:space="preserve">Welke factoren beïnvloeden de mate van bereidheid tot de invoering van de IFRS for SMEs van de IASB? </w:t>
      </w:r>
    </w:p>
    <w:p w:rsidR="00374656" w:rsidRDefault="00374656" w:rsidP="001E23EF">
      <w:pPr>
        <w:rPr>
          <w:color w:val="000000"/>
        </w:rPr>
      </w:pPr>
      <w:r>
        <w:rPr>
          <w:color w:val="000000"/>
        </w:rPr>
        <w:t>Teneinde van een bevredigend antwoord te voorzien op de hoofdvraag, worden de volgende drie deelvragen opgesteld:</w:t>
      </w:r>
    </w:p>
    <w:p w:rsidR="00374656" w:rsidRDefault="00374656" w:rsidP="001E23EF">
      <w:pPr>
        <w:pStyle w:val="ListParagraph"/>
        <w:numPr>
          <w:ilvl w:val="0"/>
          <w:numId w:val="23"/>
        </w:numPr>
        <w:contextualSpacing w:val="0"/>
        <w:rPr>
          <w:color w:val="000000"/>
        </w:rPr>
      </w:pPr>
      <w:r>
        <w:rPr>
          <w:color w:val="000000"/>
        </w:rPr>
        <w:t>Deelvraag 1: Wat houden de SME-standaarden van de IASB in?</w:t>
      </w:r>
    </w:p>
    <w:p w:rsidR="00374656" w:rsidRDefault="00374656" w:rsidP="001E23EF">
      <w:pPr>
        <w:pStyle w:val="ListParagraph"/>
        <w:numPr>
          <w:ilvl w:val="0"/>
          <w:numId w:val="23"/>
        </w:numPr>
        <w:contextualSpacing w:val="0"/>
        <w:rPr>
          <w:color w:val="000000"/>
        </w:rPr>
      </w:pPr>
      <w:r>
        <w:rPr>
          <w:color w:val="000000"/>
        </w:rPr>
        <w:t>Deelvraag 2: Welke factoren dragen bij aan de verklaring van de verschillen in de percepties?</w:t>
      </w:r>
    </w:p>
    <w:p w:rsidR="00374656" w:rsidRDefault="00374656" w:rsidP="001E23EF">
      <w:pPr>
        <w:pStyle w:val="ListParagraph"/>
        <w:numPr>
          <w:ilvl w:val="0"/>
          <w:numId w:val="23"/>
        </w:numPr>
        <w:contextualSpacing w:val="0"/>
        <w:rPr>
          <w:color w:val="000000"/>
        </w:rPr>
      </w:pPr>
      <w:r>
        <w:rPr>
          <w:color w:val="000000"/>
        </w:rPr>
        <w:t xml:space="preserve">Deelvraag 3: Wat zijn de verschillende zienswijzen van de invoering van de SME-standaarden in Europa? </w:t>
      </w:r>
    </w:p>
    <w:p w:rsidR="00374656" w:rsidRDefault="00374656" w:rsidP="001E23EF">
      <w:pPr>
        <w:pStyle w:val="Heading3"/>
        <w:spacing w:line="336" w:lineRule="auto"/>
      </w:pPr>
      <w:bookmarkStart w:id="4" w:name="_Toc296778005"/>
      <w:r>
        <w:t>1.3 De doelstelling, relevantie en relatie met het vakgebied</w:t>
      </w:r>
      <w:bookmarkEnd w:id="4"/>
    </w:p>
    <w:p w:rsidR="00374656" w:rsidRDefault="00374656" w:rsidP="001E23EF">
      <w:pPr>
        <w:rPr>
          <w:color w:val="000000"/>
        </w:rPr>
      </w:pPr>
      <w:r>
        <w:rPr>
          <w:color w:val="000000"/>
        </w:rPr>
        <w:t xml:space="preserve">Het doel van deze scriptie is het vinden van factoren die bijdragen aan de verklaringen van de verschillen in de percepties van groepen landen ten aanzien van de SME-standaarden. Deze verschillen zijn belangrijk aangezien deze de harmonisatie belemmeren. De IASB ontwikkelt standaarden die in overeenstemming zijn met het in het conceptual framework gedefinieerde doel van de jaarrekening: het verstrekken van informatie ten behoeve van het nemen van economische beslissingen. Op de website van de IASB staat dat standaarden worden ontwikkeld die begrijpelijk, uitvoerbaar en van hoge kwaliteit zijn. Gebruikers kunnen de jaarrekeningen beter vergelijken en de inzichtelijkheid wordt vergroot. Een goed voorbeeld is de voorkeur van de IASB voor het gebruik van de waardering tegen fair value, die relevante en transparante informatie verschaft. Niet-beursgenoteerde bedrijven dienen volgens de IASB ook de standaarden te volgen vanwege de zojuist genoemde voordelen. Volgens de IASB wordt onder de SMEs verstaan: de ondernemingen die geen publieke verantwoordingsfuncties hebben maar wel de General Purpose Financial statements moeten publiceren voor externe gebruikers (IASB, 2009, section 1). In Nederland vallen deze ondernemingen onder de niet-beursgenoteerde ondernemingen. Het probleem is dat niet alle landen bereid zijn om de standaarden in te voeren. Daarom is het zeer relevant onderzoek te doen naar de factoren die verklaren waarom landen verschillen in de perceptie ten aanzien van de invoering van de SME-standaarden. </w:t>
      </w:r>
    </w:p>
    <w:p w:rsidR="00374656" w:rsidRDefault="00374656" w:rsidP="001E23EF">
      <w:pPr>
        <w:rPr>
          <w:color w:val="000000"/>
        </w:rPr>
      </w:pPr>
      <w:r>
        <w:rPr>
          <w:color w:val="000000"/>
        </w:rPr>
        <w:t xml:space="preserve">De IFRS voor SME-standaard (IASB, 2009) heeft te maken met de financiële verslaggeving van niet-beursgenoteerde ondernemingen. Hoe de jaarrekening wordt opgesteld wordt bepaald door de standaarden, die vastgesteld worden door het desbetreffende land. Factoren worden onderzocht die deze vaststelling beïnvloeden. Al met al voeren de landen zelf economisch beleid (al dan niet in samenwerking met andere landen) en daarom zijn de percepties ten aanzien van de SME-standaarden van deze landen van belang. </w:t>
      </w:r>
    </w:p>
    <w:p w:rsidR="00374656" w:rsidRDefault="00374656" w:rsidP="001E23EF">
      <w:pPr>
        <w:pStyle w:val="Heading3"/>
        <w:spacing w:line="336" w:lineRule="auto"/>
      </w:pPr>
      <w:bookmarkStart w:id="5" w:name="_Toc296778006"/>
      <w:r>
        <w:t>1.4 De methodiek, afbakening en onderliggende theorie</w:t>
      </w:r>
      <w:bookmarkEnd w:id="5"/>
    </w:p>
    <w:p w:rsidR="00374656" w:rsidRDefault="00374656" w:rsidP="001E23EF">
      <w:pPr>
        <w:rPr>
          <w:color w:val="000000"/>
        </w:rPr>
      </w:pPr>
      <w:r>
        <w:rPr>
          <w:color w:val="000000"/>
        </w:rPr>
        <w:t>De hoofdvraag en de bijhorende deelvragen worden beantwoord door middel van literatuurstudie. Dit literatuuronderzoek begint met een introductie waarin de achtergrond van de IASB kort zal worden beschreven. Hierbij dient gedacht te worden aan het doel van de oprichting en de ontwikkeling van de IASB teneinde inzicht te verkrijgen in hoeverre de IASB invloed heeft op verschillende landen. Immers, indien blijkt dat de standaarden van de IASB sterke positieve invloeden hebben op de desbetreffende landen, zal dit punt tevens worden meegenomen in het besluit van de invoering van de IFRS voor SMEs. Volgens Kamp (2011) kunnen de consequenties van de IFRS vertaald worden naar de IFRS voor SMEs onder de volgende voorbehouden:</w:t>
      </w:r>
    </w:p>
    <w:p w:rsidR="00374656" w:rsidRDefault="00374656" w:rsidP="001E23EF">
      <w:pPr>
        <w:pStyle w:val="ListParagraph"/>
        <w:numPr>
          <w:ilvl w:val="0"/>
          <w:numId w:val="7"/>
        </w:numPr>
        <w:contextualSpacing w:val="0"/>
        <w:rPr>
          <w:color w:val="000000"/>
        </w:rPr>
      </w:pPr>
      <w:r>
        <w:rPr>
          <w:color w:val="000000"/>
        </w:rPr>
        <w:t>De IFRS voor SMEs is een vereenvoudigde versie van de full-IFRS.</w:t>
      </w:r>
    </w:p>
    <w:p w:rsidR="00374656" w:rsidRDefault="00374656" w:rsidP="001E23EF">
      <w:pPr>
        <w:pStyle w:val="ListParagraph"/>
        <w:numPr>
          <w:ilvl w:val="0"/>
          <w:numId w:val="7"/>
        </w:numPr>
        <w:contextualSpacing w:val="0"/>
        <w:rPr>
          <w:color w:val="000000"/>
        </w:rPr>
      </w:pPr>
      <w:r>
        <w:rPr>
          <w:color w:val="000000"/>
        </w:rPr>
        <w:t>Het lokale toezicht bij niet-beursgenoteerde ondernemingen is meer divers waardoor de effecten meer zullen variëren.</w:t>
      </w:r>
    </w:p>
    <w:p w:rsidR="00374656" w:rsidRDefault="00374656" w:rsidP="001E23EF">
      <w:pPr>
        <w:pStyle w:val="ListParagraph"/>
        <w:numPr>
          <w:ilvl w:val="0"/>
          <w:numId w:val="7"/>
        </w:numPr>
        <w:contextualSpacing w:val="0"/>
        <w:rPr>
          <w:color w:val="000000"/>
        </w:rPr>
      </w:pPr>
      <w:r>
        <w:rPr>
          <w:color w:val="000000"/>
        </w:rPr>
        <w:t xml:space="preserve">Determinanten van vermogenskosten zullen anders zijn omdat de vermogensverschaffers van SMEs dichter bij de ondernemingen staan dan anonieme beleggers. </w:t>
      </w:r>
    </w:p>
    <w:p w:rsidR="00374656" w:rsidRDefault="00374656" w:rsidP="001E23EF">
      <w:pPr>
        <w:rPr>
          <w:color w:val="000000"/>
        </w:rPr>
      </w:pPr>
      <w:r>
        <w:rPr>
          <w:color w:val="000000"/>
        </w:rPr>
        <w:t xml:space="preserve">Verder worden de SME-standaarden uiteengezet. De grote lijnen van de SME-standaarden zullen worden besproken. Tenslotte worden deze standaarden vergeleken met de full-IFRS standaarden. Indien de verschillen niet groot zijn, kan worden beredeneerd dat de kans groot is dat veel landen deze zullen invoeren aangezien de full-IFRS met succes is ingevoerd in Europa. Er moet echter rekening gehouden worden met de afweging tussen de voor- en nadelen van de invoering die niet voor ieder land hetzelfde zijn. Uiteraard spelen ook andere factoren een rol, die in de volgende hoofdstukken worden beschreven. </w:t>
      </w:r>
    </w:p>
    <w:p w:rsidR="00374656" w:rsidRDefault="00374656" w:rsidP="001E23EF">
      <w:pPr>
        <w:rPr>
          <w:color w:val="000000"/>
        </w:rPr>
      </w:pPr>
      <w:r>
        <w:rPr>
          <w:color w:val="000000"/>
        </w:rPr>
        <w:t xml:space="preserve">In het theoretisch kader worden de factoren besproken die de verschillen in de zienswijze doen ontstaan. Hierbij dient gedacht te worden aan de verschillen in cultuur, belastingregulering, gebruikers van financiële verslagen en afweging van de kosten en baten. </w:t>
      </w:r>
    </w:p>
    <w:p w:rsidR="00374656" w:rsidRDefault="00374656" w:rsidP="001E23EF">
      <w:pPr>
        <w:pStyle w:val="ListParagraph"/>
        <w:numPr>
          <w:ilvl w:val="0"/>
          <w:numId w:val="38"/>
        </w:numPr>
        <w:contextualSpacing w:val="0"/>
        <w:rPr>
          <w:color w:val="000000"/>
        </w:rPr>
      </w:pPr>
      <w:r>
        <w:rPr>
          <w:color w:val="000000"/>
        </w:rPr>
        <w:t xml:space="preserve">De eerste factor, cultuurverschillen, wordt uitgewerkt aan de hand van het model van Gray (1988). In dit model worden de culturele dimensies uit het onderzoek van Hofstede (1984) door Gray vertaald in termen van accounting waarden. In het bijbehorend hoofdstuk wordt dit model verder beschreven. </w:t>
      </w:r>
    </w:p>
    <w:p w:rsidR="00374656" w:rsidRDefault="00374656" w:rsidP="001E23EF">
      <w:pPr>
        <w:ind w:left="360"/>
        <w:rPr>
          <w:color w:val="000000"/>
        </w:rPr>
      </w:pPr>
      <w:r>
        <w:rPr>
          <w:color w:val="000000"/>
        </w:rPr>
        <w:t xml:space="preserve">Van belang is dat Gray de volgende groepering van landen maakt, die relevant is voor deze scriptie (Kamp, 2011): </w:t>
      </w:r>
    </w:p>
    <w:p w:rsidR="00374656" w:rsidRDefault="00374656" w:rsidP="001E23EF">
      <w:pPr>
        <w:pStyle w:val="ListParagraph"/>
        <w:numPr>
          <w:ilvl w:val="0"/>
          <w:numId w:val="7"/>
        </w:numPr>
        <w:contextualSpacing w:val="0"/>
        <w:rPr>
          <w:color w:val="000000"/>
        </w:rPr>
      </w:pPr>
      <w:r>
        <w:rPr>
          <w:color w:val="000000"/>
        </w:rPr>
        <w:t xml:space="preserve">Angelsaksische gebieden: </w:t>
      </w:r>
      <w:r>
        <w:rPr>
          <w:i/>
          <w:iCs/>
          <w:color w:val="000000"/>
        </w:rPr>
        <w:t>Groot-Brittannië</w:t>
      </w:r>
      <w:r>
        <w:rPr>
          <w:color w:val="000000"/>
        </w:rPr>
        <w:t>, Ierland en Malta.</w:t>
      </w:r>
    </w:p>
    <w:p w:rsidR="00374656" w:rsidRDefault="00374656" w:rsidP="001E23EF">
      <w:pPr>
        <w:pStyle w:val="ListParagraph"/>
        <w:numPr>
          <w:ilvl w:val="0"/>
          <w:numId w:val="7"/>
        </w:numPr>
        <w:contextualSpacing w:val="0"/>
        <w:rPr>
          <w:color w:val="000000"/>
        </w:rPr>
      </w:pPr>
      <w:r>
        <w:rPr>
          <w:color w:val="000000"/>
        </w:rPr>
        <w:t xml:space="preserve">Germaanse gebieden: </w:t>
      </w:r>
      <w:r>
        <w:rPr>
          <w:i/>
          <w:iCs/>
          <w:color w:val="000000"/>
        </w:rPr>
        <w:t>Duitsland</w:t>
      </w:r>
      <w:r>
        <w:rPr>
          <w:color w:val="000000"/>
        </w:rPr>
        <w:t>, Oostenrijk en Zwitserland.</w:t>
      </w:r>
    </w:p>
    <w:p w:rsidR="00374656" w:rsidRDefault="00374656" w:rsidP="001E23EF">
      <w:pPr>
        <w:pStyle w:val="ListParagraph"/>
        <w:numPr>
          <w:ilvl w:val="0"/>
          <w:numId w:val="7"/>
        </w:numPr>
        <w:contextualSpacing w:val="0"/>
        <w:rPr>
          <w:color w:val="000000"/>
        </w:rPr>
      </w:pPr>
      <w:r>
        <w:rPr>
          <w:color w:val="000000"/>
        </w:rPr>
        <w:t xml:space="preserve">Romaanse gebieden: </w:t>
      </w:r>
      <w:r>
        <w:rPr>
          <w:i/>
          <w:iCs/>
          <w:color w:val="000000"/>
        </w:rPr>
        <w:t xml:space="preserve">Frankrijk, </w:t>
      </w:r>
      <w:r>
        <w:rPr>
          <w:color w:val="000000"/>
        </w:rPr>
        <w:t>Spanje</w:t>
      </w:r>
      <w:r>
        <w:rPr>
          <w:i/>
          <w:iCs/>
          <w:color w:val="000000"/>
        </w:rPr>
        <w:t>, Italië</w:t>
      </w:r>
      <w:r>
        <w:rPr>
          <w:color w:val="000000"/>
        </w:rPr>
        <w:t>, Portugal, België en Luxemburg</w:t>
      </w:r>
    </w:p>
    <w:p w:rsidR="00374656" w:rsidRDefault="00374656" w:rsidP="001E23EF">
      <w:pPr>
        <w:pStyle w:val="ListParagraph"/>
        <w:numPr>
          <w:ilvl w:val="0"/>
          <w:numId w:val="7"/>
        </w:numPr>
        <w:contextualSpacing w:val="0"/>
        <w:rPr>
          <w:color w:val="000000"/>
        </w:rPr>
      </w:pPr>
      <w:r>
        <w:rPr>
          <w:color w:val="000000"/>
        </w:rPr>
        <w:t xml:space="preserve">Noord-Europese gebieden: </w:t>
      </w:r>
      <w:r>
        <w:rPr>
          <w:i/>
          <w:iCs/>
          <w:color w:val="000000"/>
        </w:rPr>
        <w:t>Nederland</w:t>
      </w:r>
      <w:r>
        <w:rPr>
          <w:color w:val="000000"/>
        </w:rPr>
        <w:t xml:space="preserve">, Noorwegen, </w:t>
      </w:r>
      <w:r>
        <w:rPr>
          <w:i/>
          <w:iCs/>
          <w:color w:val="000000"/>
        </w:rPr>
        <w:t>Zweden,</w:t>
      </w:r>
      <w:r>
        <w:rPr>
          <w:color w:val="000000"/>
        </w:rPr>
        <w:t xml:space="preserve"> Denemarken, Finland en Estland. </w:t>
      </w:r>
    </w:p>
    <w:p w:rsidR="00374656" w:rsidRDefault="00374656" w:rsidP="001E23EF">
      <w:pPr>
        <w:ind w:firstLine="360"/>
        <w:rPr>
          <w:color w:val="000000"/>
        </w:rPr>
      </w:pPr>
      <w:r>
        <w:rPr>
          <w:color w:val="000000"/>
        </w:rPr>
        <w:t>De belangrijkste veronderstellingen van Gray zijn het volgende:</w:t>
      </w:r>
    </w:p>
    <w:p w:rsidR="00374656" w:rsidRDefault="00374656" w:rsidP="001E23EF">
      <w:pPr>
        <w:pStyle w:val="ListParagraph"/>
        <w:numPr>
          <w:ilvl w:val="0"/>
          <w:numId w:val="7"/>
        </w:numPr>
        <w:contextualSpacing w:val="0"/>
        <w:rPr>
          <w:color w:val="000000"/>
        </w:rPr>
      </w:pPr>
      <w:r>
        <w:rPr>
          <w:color w:val="000000"/>
        </w:rPr>
        <w:t>Angelsaksische en Noord-Europese gebieden: meer professionalism, flexibility, optimism en transparency.</w:t>
      </w:r>
    </w:p>
    <w:p w:rsidR="00374656" w:rsidRDefault="00374656" w:rsidP="001E23EF">
      <w:pPr>
        <w:pStyle w:val="ListParagraph"/>
        <w:numPr>
          <w:ilvl w:val="0"/>
          <w:numId w:val="7"/>
        </w:numPr>
        <w:contextualSpacing w:val="0"/>
        <w:rPr>
          <w:color w:val="000000"/>
        </w:rPr>
      </w:pPr>
      <w:r>
        <w:rPr>
          <w:color w:val="000000"/>
        </w:rPr>
        <w:t>Germaanse en Romaanse gebieden: meer statutorial control, uniformity, conservatism en secrecy.</w:t>
      </w:r>
    </w:p>
    <w:p w:rsidR="00374656" w:rsidRDefault="00374656" w:rsidP="001E23EF">
      <w:pPr>
        <w:ind w:left="360"/>
        <w:rPr>
          <w:color w:val="000000"/>
        </w:rPr>
      </w:pPr>
      <w:r>
        <w:rPr>
          <w:color w:val="000000"/>
        </w:rPr>
        <w:t>Kamp (2011) geeft aan dat hoewel enkele resultaten uit het onderzoek niet in lijn zijn met de  van Gray, de culturele aspecten nog steeds een rol spelen bij de toepassing van verslaggevingstandaarden, ook na de introductie van IFRS. Verder refereert Kamp aan Saudagaran en Meek (2007), de onderzoekers die naast de cultuur nog zeven andere factoren noemen die het verschil in regelgeving verklaren, deze zijn: wetsystemen, de aard van de verhouding tussen vermogenverschaffers en ondernemingen, inflatieniveaus, politieke en economische banden, de mate van economische ontwikkeling en opleidingsniveau. Aan deze factoren wordt in deze scriptie verder geen aandacht besteed.</w:t>
      </w:r>
    </w:p>
    <w:p w:rsidR="00374656" w:rsidRDefault="00374656" w:rsidP="001E23EF">
      <w:pPr>
        <w:pStyle w:val="ListParagraph"/>
        <w:numPr>
          <w:ilvl w:val="0"/>
          <w:numId w:val="38"/>
        </w:numPr>
        <w:contextualSpacing w:val="0"/>
        <w:rPr>
          <w:color w:val="000000"/>
        </w:rPr>
      </w:pPr>
      <w:r>
        <w:rPr>
          <w:color w:val="000000"/>
        </w:rPr>
        <w:t xml:space="preserve">De tweede factor betreft het belastingsysteem. Belastingautoriteiten in Europa verschillen van mening ten aanzien van de vraag in hoeverre IFRS geschikt is om als basis te gebruiken voor het berekenen van winsten ten behoeve van belastingdoeleinden. Dit leidt tot verschillende benaderingen. In tegenstelling tot het Verenigd Koninkrijk staan Duitsland en Frankrijk niet toe dat IFRS als basis wordt gebruikt (Newton, 2006). In het theoretisch kader worden de belastingsbenaderingen (de afhankelijke, de onafhankelijke en de quasi-afhankelijke benadering, die genoemd worden door Newton) omschreven. Hierbij geldt dat de toepassing van IFRS in landen die de afhankelijke benadering volgen, een materieel effect heeft op de belastingverplichtingen. In landen waar de onafhankelijke benadering wordt gehanteerd, zal de toepassing van IFRS voor toenemende complexiteit zorgen met betrekking tot de latente belastingposities, aldus Newton. </w:t>
      </w:r>
    </w:p>
    <w:p w:rsidR="00374656" w:rsidRDefault="00374656" w:rsidP="001E23EF">
      <w:pPr>
        <w:pStyle w:val="ListParagraph"/>
        <w:numPr>
          <w:ilvl w:val="0"/>
          <w:numId w:val="38"/>
        </w:numPr>
        <w:contextualSpacing w:val="0"/>
        <w:rPr>
          <w:color w:val="000000"/>
        </w:rPr>
      </w:pPr>
      <w:r>
        <w:rPr>
          <w:color w:val="000000"/>
        </w:rPr>
        <w:t xml:space="preserve">De gebruikers van de financiële verslagen hebben tevens invloed op de kijk naar de invoering van de SME-standaarden. In het algemeen wordt de IFRS gezien als ‘investor focused’ (Newton 2006).  Landen met grote kapitaalmarkten zullen eerder de IFRS voor SMEs willen toepassen dan landen waarin de belastingautoriteiten centraal staan. In het theoretisch kader zullen de verschillende soorten gebruikers van financiële verslagen van SMEs worden omschreven en de beïnvloeding op de invoering van de IFRS voor SMEs. </w:t>
      </w:r>
    </w:p>
    <w:p w:rsidR="00374656" w:rsidRDefault="00374656" w:rsidP="001E23EF">
      <w:pPr>
        <w:pStyle w:val="ListParagraph"/>
        <w:numPr>
          <w:ilvl w:val="0"/>
          <w:numId w:val="38"/>
        </w:numPr>
        <w:contextualSpacing w:val="0"/>
        <w:rPr>
          <w:color w:val="000000"/>
        </w:rPr>
      </w:pPr>
      <w:r>
        <w:rPr>
          <w:color w:val="000000"/>
        </w:rPr>
        <w:t>De laatste factor betreft de baten en kostenanalyse. De (verwachte) voor- en nadelen van de invoering van de SME-standaarden zullen naast elkaar worden gezet.</w:t>
      </w:r>
    </w:p>
    <w:p w:rsidR="00374656" w:rsidRDefault="00374656" w:rsidP="001E23EF">
      <w:pPr>
        <w:rPr>
          <w:color w:val="000000"/>
        </w:rPr>
      </w:pPr>
      <w:r>
        <w:rPr>
          <w:color w:val="000000"/>
        </w:rPr>
        <w:t xml:space="preserve">Daarna volgt het empirisch kader waarin de zienswijzen van verschillende landen worden beschreven. In de praktijk kunnen namelijk ook andere factoren een rol spelen. Bovendien kan worden afgeleid hoe belangrijk de factoren zijn voor verschillende landen. Dit literatuuronderzoek beperkt zich tot enkele gebieden binnen Europa, namelijk: </w:t>
      </w:r>
      <w:r>
        <w:rPr>
          <w:i/>
          <w:iCs/>
          <w:color w:val="000000"/>
        </w:rPr>
        <w:t>Nederland, Engeland, Duitsland, Frankrijk, Zweden en Italië.</w:t>
      </w:r>
      <w:r>
        <w:rPr>
          <w:color w:val="000000"/>
        </w:rPr>
        <w:t xml:space="preserve"> Hierbij worden naast het onderzoek van Kamp (2011), de resultaten en bevinden gebruikt uit de onderzoeken van Mazars (2008), de Europese Commissie (2010) en de fieldtesten van de IASB in samenwerking met verschillende nationale verslaggevingregelgevers. Deze onderzoeken zijn gebaseerd op enquêtes waarin de meningen van de verschillende landen tot uitdrukking worden gebracht. Verder worden ook andere artikelen gebruikt land ter vergelijking en aanvulling (Gassen, 2006; Eierle en Haller 2007, Aamir en Farooq, 2010 etc.). In dit hoofdstuk wordt de zienswijze van elk land beschreven door de resultaten van de drie empirische onderzoeken te relateren aan de vier factoren. </w:t>
      </w:r>
    </w:p>
    <w:p w:rsidR="00374656" w:rsidRDefault="00374656" w:rsidP="001E23EF">
      <w:pPr>
        <w:rPr>
          <w:color w:val="000000"/>
        </w:rPr>
      </w:pPr>
      <w:r>
        <w:rPr>
          <w:color w:val="000000"/>
        </w:rPr>
        <w:t>Vervolgens volgt een analyse waarin de percepties van de landen worden samengevat en er wordt een koppeling gemaakt aan de theorieën die beschreven zijn in het theoretisch kader. Tevens wordt een algemene zienswijze van Europa gegeven aan de hand van de voorgaande resultaten. Uiteindelijk volgt een conclusie en een samenvatting waarin alle deelvragen en de hoofdvraag zullen worden beantwoord.</w:t>
      </w:r>
    </w:p>
    <w:p w:rsidR="00374656" w:rsidRDefault="00374656" w:rsidP="001E23EF">
      <w:pPr>
        <w:rPr>
          <w:b/>
          <w:bCs/>
          <w:sz w:val="36"/>
          <w:szCs w:val="36"/>
        </w:rPr>
      </w:pPr>
      <w:r>
        <w:rPr>
          <w:b/>
          <w:bCs/>
          <w:sz w:val="36"/>
          <w:szCs w:val="36"/>
        </w:rPr>
        <w:br w:type="page"/>
      </w:r>
    </w:p>
    <w:p w:rsidR="00374656" w:rsidRDefault="00374656" w:rsidP="001E23EF">
      <w:pPr>
        <w:pStyle w:val="Heading1"/>
        <w:spacing w:line="336" w:lineRule="auto"/>
        <w:jc w:val="center"/>
        <w:rPr>
          <w:lang w:val="en-US"/>
        </w:rPr>
      </w:pPr>
      <w:bookmarkStart w:id="6" w:name="_Toc296778007"/>
      <w:r>
        <w:rPr>
          <w:lang w:val="en-US"/>
        </w:rPr>
        <w:t>Introductie: IFRS for SMEs</w:t>
      </w:r>
      <w:bookmarkEnd w:id="6"/>
    </w:p>
    <w:p w:rsidR="00374656" w:rsidRPr="002606FB" w:rsidRDefault="00374656" w:rsidP="001E23EF">
      <w:pPr>
        <w:pStyle w:val="Heading2"/>
        <w:spacing w:line="336" w:lineRule="auto"/>
        <w:rPr>
          <w:lang w:val="en-US"/>
        </w:rPr>
      </w:pPr>
      <w:bookmarkStart w:id="7" w:name="_Toc296778008"/>
      <w:r w:rsidRPr="002606FB">
        <w:rPr>
          <w:lang w:val="en-US"/>
        </w:rPr>
        <w:t>Hoofdstuk 2: De IFRS for SMEs</w:t>
      </w:r>
      <w:bookmarkEnd w:id="7"/>
    </w:p>
    <w:p w:rsidR="00374656" w:rsidRDefault="00374656" w:rsidP="001E23EF">
      <w:r>
        <w:t>De IFRS for SMEs, de officiële naam voor de SME-standaarden, is definitief gepubliceerd op 9 juli 2009. Vóór de publicatie zijn veel overwegingen gedaan omtrent de invoering. In dit hoofdstuk wordt aandacht besteed aan de periode die vooraf ging aan de publicatie teneinde meer inzicht te krijgen in het ontstaan van de standaarden. Allereerst wordt de organisatie International Accounting standaard Board (hierna: IASB) in acht genomen. De doelstelling en ontwikkeling van de IASB zullen worden besproken. Daarna wordt de totstandkoming van de IFRS for SMEs toegelicht en de bepalingen omtrent de standaarden zullen vervolgens worden uiteengezet. Tenslotte volgt een vergelijking tussen de IFRS for SMEs en de full-IFRS.</w:t>
      </w:r>
    </w:p>
    <w:p w:rsidR="00374656" w:rsidRDefault="00374656" w:rsidP="001E23EF">
      <w:pPr>
        <w:pStyle w:val="Heading3"/>
        <w:spacing w:line="336" w:lineRule="auto"/>
      </w:pPr>
      <w:bookmarkStart w:id="8" w:name="_Toc296778009"/>
      <w:r>
        <w:t>2.1 De ontwikkeling van de IASB</w:t>
      </w:r>
      <w:bookmarkEnd w:id="8"/>
    </w:p>
    <w:p w:rsidR="00374656" w:rsidRDefault="00374656" w:rsidP="001E23EF">
      <w:pPr>
        <w:spacing w:after="0"/>
      </w:pPr>
      <w:r>
        <w:t xml:space="preserve">De voorloper van de IASB is het International Accounting Standards Committee (hierna: IASC). Deze werd opgericht in 1973 met als functie het ontwikkelen van publieke verslaggevingstandaarden voor het opstellen van financiële verslagen (IASC, 1998). Het IASC streeft naar wereldwijde acceptatie, verbetering en harmonisering van reguleringen, verslaggevingstandaarden en procedures gerelateerd aan de presentatie van financiële verslagen. </w:t>
      </w:r>
    </w:p>
    <w:p w:rsidR="00374656" w:rsidRDefault="00374656" w:rsidP="001E23EF">
      <w:pPr>
        <w:spacing w:after="0"/>
      </w:pPr>
    </w:p>
    <w:p w:rsidR="00374656" w:rsidRDefault="00374656" w:rsidP="001E23EF">
      <w:r>
        <w:t>Het IASC volgt bij de regulering van de verslaggeving het Anglo-Amerikaans model</w:t>
      </w:r>
      <w:r>
        <w:rPr>
          <w:rStyle w:val="FootnoteReference"/>
        </w:rPr>
        <w:footnoteReference w:id="2"/>
      </w:r>
      <w:r>
        <w:t xml:space="preserve"> (Deegan en Unerman, 2006). Echter veel van de gepubliceerde internationale verslaggevingstandaarden van het IASC staan verschillende mogelijkheden van verslaggeving toe. Hoewel de ondernemingen zich aan de set verslaggevingregels houden, kunnen deze alsnog gebruik maken van verschillend verslaggevingbeleid. Het doel van verslaggevingregulering, de bevordering van de vergelijkbaarheid en de begrijpelijkheid van financiële verslagen, wordt daarom niet gegarandeerd bereikt door de naleving van de verslaggevingregels. Om samen te kunnen werken met de International Organisation of Securities Commissions (hierna: IOSCO), de internationale regelgever voor de effectenmarkten, kwam het IASC met een verbeterd project waarin minder verslaggevingopties werden toegestaan. In 1999 werd de verbeterde set verslaggevingstandaarden geaccepteerd door alle leden van de IOSCO, behalve de US Securities Exchange Commission (Deegan en Unerman, 2006). </w:t>
      </w:r>
    </w:p>
    <w:p w:rsidR="00374656" w:rsidRDefault="00374656" w:rsidP="001E23EF">
      <w:r>
        <w:t>In 2001 werden de standaarden van het IASC overgenomen door de huidige IASB die met een nieuw verbeterd project aankwam, namelijk de International Financial Reporting Standards (hierna: IFRS). In vergelijking met het IASC, heeft de IASB een meer onafhankelijke en strikte structuur (Deegan en Unerman, 2006). Alle vergaderingen van de IASB worden in het openbaar gehouden. De IASB volgt een grondig, open en transparant proces bij het voldoen van zijn regelgevende taak.</w:t>
      </w:r>
    </w:p>
    <w:p w:rsidR="00374656" w:rsidRDefault="00374656" w:rsidP="001E23EF"/>
    <w:p w:rsidR="00374656" w:rsidRDefault="00374656" w:rsidP="001E23EF">
      <w:r>
        <w:t>De voornaamste doelstellingen van de IFRS zijn (IFRS, website):</w:t>
      </w:r>
    </w:p>
    <w:p w:rsidR="00374656" w:rsidRDefault="00374656" w:rsidP="001E23EF">
      <w:pPr>
        <w:pStyle w:val="ListParagraph"/>
        <w:numPr>
          <w:ilvl w:val="0"/>
          <w:numId w:val="1"/>
        </w:numPr>
        <w:contextualSpacing w:val="0"/>
      </w:pPr>
      <w:r>
        <w:t>Het ontwikkelen van een set hoge kwalitatieve, begrijpelijke, uitvoerbare en wereldwijde geaccepteerde internationale financiële verslaggevingstandaarden.</w:t>
      </w:r>
    </w:p>
    <w:p w:rsidR="00374656" w:rsidRDefault="00374656" w:rsidP="001E23EF">
      <w:pPr>
        <w:pStyle w:val="ListParagraph"/>
        <w:numPr>
          <w:ilvl w:val="0"/>
          <w:numId w:val="1"/>
        </w:numPr>
        <w:contextualSpacing w:val="0"/>
      </w:pPr>
      <w:r>
        <w:t>Het promoten van het gebruik en strikte toepassing van de standaarden.</w:t>
      </w:r>
    </w:p>
    <w:p w:rsidR="00374656" w:rsidRDefault="00374656" w:rsidP="001E23EF">
      <w:pPr>
        <w:pStyle w:val="ListParagraph"/>
        <w:numPr>
          <w:ilvl w:val="0"/>
          <w:numId w:val="1"/>
        </w:numPr>
        <w:contextualSpacing w:val="0"/>
      </w:pPr>
      <w:r>
        <w:t>Rekening houden met de behoeften van financiële rapportage van opkomende economieën en small and medium-sized entities.</w:t>
      </w:r>
    </w:p>
    <w:p w:rsidR="00374656" w:rsidRDefault="00374656" w:rsidP="001E23EF">
      <w:pPr>
        <w:pStyle w:val="ListParagraph"/>
        <w:numPr>
          <w:ilvl w:val="0"/>
          <w:numId w:val="1"/>
        </w:numPr>
        <w:contextualSpacing w:val="0"/>
      </w:pPr>
      <w:r>
        <w:t>Zorgen voor kwalitatieve oplossingen voor de convergentie van nationale accountingstandaarden en de IFRS.</w:t>
      </w:r>
    </w:p>
    <w:p w:rsidR="00374656" w:rsidRDefault="00374656" w:rsidP="001E23EF">
      <w:r>
        <w:t>Het bestuur en het toezicht op de activiteiten van de IFRS-foundation en de IASB berusten bij de trustees, die tevens verantwoordelijk zijn voor het waarborgen van de onafhankelijkheid van de IASB en de financiering van de organisatie (IFRS, website). Ondanks de verbeteringen, worden de IFRS nog steeds niet geaccepteerd door de US Securities Exchange Commission. De IASB en de Financial Accounting Standards Board (FASB), de regelgever van Amerika, proberen echter de verschillen tussen de internationale verslaggevingstandaarden te verkleinen door middel van het convergence project (Nobes en Parker, 2004).</w:t>
      </w:r>
    </w:p>
    <w:p w:rsidR="00374656" w:rsidRDefault="00374656" w:rsidP="001E23EF">
      <w:r>
        <w:t xml:space="preserve">In Europa daarentegen, worden de IFRS wel geaccepteerd. De Europese Commissie stelde in 2001 voor dat alle beursgenoteerde ondernemingen voor het opstellen van de geconsolideerde jaarrekening de IFRS moeten volgen. De lidstaten mogen de IFRS ook verplichten voor niet-beursgenoteerde ondernemingen en voor enkelvoudige jaarrekeningen (Deegan en Unerman, 2006). De doelstellingen van de Europese Commissie met betrekking tot de invoering van de IFRS zijn: het opheffen van belemmeringen betreffende de handel in effecten, het bevorderen van de vergelijkbaarheid, transparantie en marktefficiency en zorgen voor lagere vermogenskosten voor de ondernemingen (Deegan en Unerman, 2006). </w:t>
      </w:r>
    </w:p>
    <w:p w:rsidR="00374656" w:rsidRPr="002606FB" w:rsidRDefault="00374656" w:rsidP="001E23EF">
      <w:pPr>
        <w:pStyle w:val="Heading3"/>
        <w:spacing w:after="240" w:line="336" w:lineRule="auto"/>
      </w:pPr>
      <w:bookmarkStart w:id="9" w:name="_Toc296778010"/>
      <w:r w:rsidRPr="002606FB">
        <w:t>2.2 De IFRS for SMEs</w:t>
      </w:r>
      <w:bookmarkEnd w:id="9"/>
    </w:p>
    <w:p w:rsidR="00374656" w:rsidRDefault="00374656" w:rsidP="001E23EF">
      <w:pPr>
        <w:pStyle w:val="Heading4"/>
        <w:spacing w:line="336" w:lineRule="auto"/>
        <w:rPr>
          <w:i/>
          <w:iCs w:val="0"/>
        </w:rPr>
      </w:pPr>
      <w:bookmarkStart w:id="10" w:name="_Toc295596705"/>
      <w:bookmarkStart w:id="11" w:name="_Toc296187803"/>
      <w:bookmarkStart w:id="12" w:name="_Toc296187903"/>
      <w:bookmarkStart w:id="13" w:name="_Toc296194285"/>
      <w:bookmarkStart w:id="14" w:name="_Toc296777656"/>
      <w:bookmarkStart w:id="15" w:name="_Toc296778011"/>
      <w:r>
        <w:rPr>
          <w:i/>
        </w:rPr>
        <w:t>Het ontstaan van de IFRS for SMEs</w:t>
      </w:r>
      <w:bookmarkEnd w:id="10"/>
      <w:bookmarkEnd w:id="11"/>
      <w:bookmarkEnd w:id="12"/>
      <w:bookmarkEnd w:id="13"/>
      <w:bookmarkEnd w:id="14"/>
      <w:bookmarkEnd w:id="15"/>
    </w:p>
    <w:p w:rsidR="00374656" w:rsidRDefault="00374656" w:rsidP="001E23EF">
      <w:pPr>
        <w:spacing w:after="0"/>
        <w:rPr>
          <w:color w:val="FF0000"/>
        </w:rPr>
      </w:pPr>
      <w:r>
        <w:t>Bij de overname van de verslaggevingstandaarden van het IASC door de IASB is een rapport verschenen waarin het IASC een opmerking had over de SMEs, namelijk dat er een vraag bestaat naar een speciale versie van internationale verslaggevingstandaarden voor niet-beursgenoteerde ondernemingen (IFRS for SMEs, BC1). De full-IFRS richt zich met name op de behoeften van kapitaalverschaffers en gebruikers van financiële verslagen in publieke kapitaalmarkten. De gebruikers van financiële verslagen van SMEs hebben echter andere behoeften (Mazars, 2008). Zij focussen op het beoordelen van kortetermijnkasstromen, liquiditeit en solvabiliteit. Bovendien hebben deze andere informatie nodig die niet gepresenteerd wordt in de financiële verslagen van beursgenoteerde ondernemingen(IFRS for SMEs, BC44). Daarnaast vinden de SMEs de full-IFRS te complex en te kostbaar om toe te passen en te handhaven. Kort nadat de IAS werden overgenomen door de IASB, begon de IASB aan het ontwikkelen van standaarden die geschikt zijn voor de SMEs. Na verscheidene onderzoeken en publicaties van de IASB is de IFRS for SMEs definitief gepubliceerd in juli 2009 (IFRS for SMEs, BC).</w:t>
      </w:r>
      <w:r>
        <w:rPr>
          <w:color w:val="FF0000"/>
        </w:rPr>
        <w:t xml:space="preserve"> </w:t>
      </w:r>
    </w:p>
    <w:p w:rsidR="00374656" w:rsidRDefault="00374656" w:rsidP="001E23EF">
      <w:pPr>
        <w:pStyle w:val="Heading4"/>
        <w:spacing w:line="336" w:lineRule="auto"/>
        <w:rPr>
          <w:i/>
          <w:iCs w:val="0"/>
        </w:rPr>
      </w:pPr>
      <w:bookmarkStart w:id="16" w:name="_Toc295596706"/>
      <w:bookmarkStart w:id="17" w:name="_Toc296187804"/>
      <w:bookmarkStart w:id="18" w:name="_Toc296187904"/>
      <w:bookmarkStart w:id="19" w:name="_Toc296194286"/>
      <w:bookmarkStart w:id="20" w:name="_Toc296777657"/>
      <w:bookmarkStart w:id="21" w:name="_Toc296778012"/>
      <w:r>
        <w:rPr>
          <w:i/>
        </w:rPr>
        <w:t>De doelstellingen</w:t>
      </w:r>
      <w:bookmarkEnd w:id="16"/>
      <w:bookmarkEnd w:id="17"/>
      <w:bookmarkEnd w:id="18"/>
      <w:bookmarkEnd w:id="19"/>
      <w:bookmarkEnd w:id="20"/>
      <w:bookmarkEnd w:id="21"/>
    </w:p>
    <w:p w:rsidR="00374656" w:rsidRDefault="00374656" w:rsidP="001E23EF">
      <w:r>
        <w:t xml:space="preserve">Het hoofddoel van de IASB van de ontwikkeling van de IFRS for SMEs is informatie te verschaffen over de financiële positie, performance en kasstromen van een SME, dat een breder bereik van gebruikers kan helpen met het nemen van economische beslissingen (IFRS for SMEs, section 2). De financiële verslagen moeten ook voorzien in de stewardshipfunctie van het management (Ernst&amp; Young, 2009). Daarnaast dient de IFRS for SMEs, in tegenstelling tot de full-IFRS en de nationale GAAP, te zorgen voor vermindering van de lasten voor de opstellers van de financiële verslagen (IFRS, website). </w:t>
      </w:r>
    </w:p>
    <w:p w:rsidR="00374656" w:rsidRDefault="00374656" w:rsidP="001E23EF">
      <w:pPr>
        <w:pStyle w:val="Heading4"/>
        <w:spacing w:line="336" w:lineRule="auto"/>
        <w:rPr>
          <w:i/>
          <w:iCs w:val="0"/>
        </w:rPr>
      </w:pPr>
      <w:bookmarkStart w:id="22" w:name="_Toc295596707"/>
      <w:bookmarkStart w:id="23" w:name="_Toc296187805"/>
      <w:bookmarkStart w:id="24" w:name="_Toc296187905"/>
      <w:bookmarkStart w:id="25" w:name="_Toc296194287"/>
      <w:bookmarkStart w:id="26" w:name="_Toc296777658"/>
      <w:bookmarkStart w:id="27" w:name="_Toc296778013"/>
      <w:r>
        <w:rPr>
          <w:i/>
        </w:rPr>
        <w:t>Het toepassingsgebied</w:t>
      </w:r>
      <w:bookmarkEnd w:id="22"/>
      <w:bookmarkEnd w:id="23"/>
      <w:bookmarkEnd w:id="24"/>
      <w:bookmarkEnd w:id="25"/>
      <w:bookmarkEnd w:id="26"/>
      <w:bookmarkEnd w:id="27"/>
    </w:p>
    <w:p w:rsidR="00374656" w:rsidRDefault="00374656" w:rsidP="001E23EF">
      <w:r>
        <w:t>De IFRS for SMEs bevat richtlijnen voor small and medium-sized entities. Zoals in hoofdstuk één kort is beschreven, zijn de standaarden toepasbaar voor SMEs die geen publieke verantwoordingsfuncties hebben en die ‘General Purpose Financial Statements’ voor externe gebruikers moeten publiceren.  Een onderneming heeft publieke verantwoordingsfuncties indien deze beursgenoteerd is of als deze gelden van derden in bewaring heeft (IFRS for SMEs, section 1.3). Kwalitatieve metingen zoals hoeveelheid opbrengsten, kosten, bezittingen of werknemers spelen geen rol in de bepaling van het gebruik van de standaard. De standaard geeft aan dat in elk gebied de jurisdictie bepaalt welke ondernemingen de IFRS for SMEs mogen of moeten toepassen (IFRS for SMEs, section 1).</w:t>
      </w:r>
    </w:p>
    <w:p w:rsidR="00374656" w:rsidRPr="002606FB" w:rsidRDefault="00374656" w:rsidP="001E23EF">
      <w:pPr>
        <w:pStyle w:val="Heading4"/>
        <w:spacing w:line="336" w:lineRule="auto"/>
        <w:rPr>
          <w:i/>
          <w:iCs w:val="0"/>
        </w:rPr>
      </w:pPr>
      <w:bookmarkStart w:id="28" w:name="_Toc295596708"/>
      <w:bookmarkStart w:id="29" w:name="_Toc296187806"/>
      <w:bookmarkStart w:id="30" w:name="_Toc296187906"/>
      <w:bookmarkStart w:id="31" w:name="_Toc296194288"/>
      <w:bookmarkStart w:id="32" w:name="_Toc296777659"/>
      <w:bookmarkStart w:id="33" w:name="_Toc296778014"/>
      <w:r w:rsidRPr="002606FB">
        <w:rPr>
          <w:i/>
        </w:rPr>
        <w:t>Het framework IFRS for SMEs</w:t>
      </w:r>
      <w:bookmarkEnd w:id="28"/>
      <w:bookmarkEnd w:id="29"/>
      <w:bookmarkEnd w:id="30"/>
      <w:bookmarkEnd w:id="31"/>
      <w:bookmarkEnd w:id="32"/>
      <w:bookmarkEnd w:id="33"/>
      <w:r w:rsidRPr="002606FB">
        <w:rPr>
          <w:i/>
        </w:rPr>
        <w:t xml:space="preserve"> </w:t>
      </w:r>
    </w:p>
    <w:p w:rsidR="00374656" w:rsidRDefault="00374656" w:rsidP="001E23EF">
      <w:r>
        <w:t xml:space="preserve">De IFRS for SMEs is een zelfstandige standaard (stand-alone) doordat geen verwijzingen worden gemaakt naar de full-IFRS. De standaarden dienen te worden herzien twee jaar na de eerste publicatie van de financiële verslagen. Daarna dient de standaard om de drie jaren te worden herzien (IFRS for SMES, preface). De IFRS for SMEs heeft evenals de full-IFRS een framework. In het framework van de SME-standaarden dient de balans, die de financiële positie weergeeft van de SME, te voldoen aan tien kwalitatieve kenmerken, namelijk (Mackenzie, 2010, p. 9): Vergelijkbaarheid, begrijpelijkheid, relevantie, materialiteitsbeginsel, betrouwbaarheid, substance over form, voorzichtigheidsbeginsel, compleetheid, tijdigheid en evenwicht tussen baten en kosten. </w:t>
      </w:r>
    </w:p>
    <w:p w:rsidR="00374656" w:rsidRDefault="00374656" w:rsidP="001E23EF">
      <w:r>
        <w:t>De verwerkingscriteria en waarderingsgrondslagen zijn gebaseerd op de principes die ontleend zijn van het IASB framework van de full-IFRS. Drie algemene waarderingsgrondslagen worden gebruikt in de SME-standaard, deze zijn: de historische kostprijs, de geamortiseerde kostprijs en de fair value (IFRS for SMEs, 2009). Verder bestaat de jaarrekening van een SME uit de balans, de resultatenrekening, een overzicht van mutaties eigen vermogen, het kasstroomoverzicht en de toelichting. De algemene definities en bepalingen omtrent de elementen zullen niet worden besproken. In de volgende paragraaf wordt dieper op de IFRS for SMEs ingegaan door een vergelijking te maken met de full-IFRS.</w:t>
      </w:r>
    </w:p>
    <w:p w:rsidR="00374656" w:rsidRDefault="00374656" w:rsidP="001E23EF">
      <w:pPr>
        <w:pStyle w:val="Heading3"/>
        <w:spacing w:line="336" w:lineRule="auto"/>
        <w:rPr>
          <w:lang w:val="en-US"/>
        </w:rPr>
      </w:pPr>
      <w:bookmarkStart w:id="34" w:name="_Toc296778015"/>
      <w:r>
        <w:rPr>
          <w:lang w:val="en-US"/>
        </w:rPr>
        <w:t>2.3 De IFRS for SMEs versus full-IFRS</w:t>
      </w:r>
      <w:bookmarkEnd w:id="34"/>
    </w:p>
    <w:p w:rsidR="00374656" w:rsidRDefault="00374656" w:rsidP="001E23EF">
      <w:r>
        <w:t>Het eerste opmerkelijk punt bij de vergelijking tussen de IFRS for SMEs en de full-IFRS is dat de IFRS for SMEs een vereenvoudigde versie is van de full-IFRS. De IASB heeft bij het ontwikkelen van deze standaard zich niet alleen geconcentreerd op de vereisten van rapportage van de SMEs, maar ook vijf algemene simplificaties toegepast om de full-IFRS standaarden te bewerken tot IFRS for SMEs:</w:t>
      </w:r>
    </w:p>
    <w:p w:rsidR="00374656" w:rsidRDefault="00374656" w:rsidP="001E23EF">
      <w:pPr>
        <w:pStyle w:val="ListParagraph"/>
        <w:numPr>
          <w:ilvl w:val="0"/>
          <w:numId w:val="3"/>
        </w:numPr>
        <w:contextualSpacing w:val="0"/>
      </w:pPr>
      <w:r>
        <w:t>Het weglaten van onderwerpen in de IFRS die niet relevant zijn voor gebruikers, zoals: winst per aandeel, segmenteringinformatie, tussentijdse rapportage en verzekeringscontracten.</w:t>
      </w:r>
    </w:p>
    <w:p w:rsidR="00374656" w:rsidRDefault="00374656" w:rsidP="001E23EF">
      <w:pPr>
        <w:pStyle w:val="ListParagraph"/>
        <w:numPr>
          <w:ilvl w:val="0"/>
          <w:numId w:val="3"/>
        </w:numPr>
        <w:contextualSpacing w:val="0"/>
      </w:pPr>
      <w:r>
        <w:t xml:space="preserve">Het elimineren van verschillende waarderings- en verwerkingsmogelijkheden. De IFRS for SMEs staat slecht één vereenvoudigde methode toe voor de SMEs. </w:t>
      </w:r>
    </w:p>
    <w:p w:rsidR="00374656" w:rsidRDefault="00374656" w:rsidP="001E23EF">
      <w:pPr>
        <w:pStyle w:val="ListParagraph"/>
        <w:numPr>
          <w:ilvl w:val="0"/>
          <w:numId w:val="3"/>
        </w:numPr>
        <w:contextualSpacing w:val="0"/>
      </w:pPr>
      <w:r>
        <w:t>De vereenvoudiging van veel verwerkingscriteria en waarderingsgrondslagen.</w:t>
      </w:r>
    </w:p>
    <w:p w:rsidR="00374656" w:rsidRDefault="00374656" w:rsidP="001E23EF">
      <w:pPr>
        <w:pStyle w:val="ListParagraph"/>
        <w:numPr>
          <w:ilvl w:val="0"/>
          <w:numId w:val="3"/>
        </w:numPr>
        <w:contextualSpacing w:val="0"/>
      </w:pPr>
      <w:r>
        <w:t>Een vermindering van de toelichtingeisen in de financiële verslagen van de SMEs.</w:t>
      </w:r>
    </w:p>
    <w:p w:rsidR="00374656" w:rsidRDefault="00374656" w:rsidP="001E23EF">
      <w:pPr>
        <w:pStyle w:val="ListParagraph"/>
        <w:numPr>
          <w:ilvl w:val="0"/>
          <w:numId w:val="3"/>
        </w:numPr>
        <w:contextualSpacing w:val="0"/>
      </w:pPr>
      <w:r>
        <w:t>De standaard is in een duidelijke en makkelijk en eenvoudige taal geschreven.</w:t>
      </w:r>
    </w:p>
    <w:p w:rsidR="00374656" w:rsidRDefault="00374656" w:rsidP="001E23EF">
      <w:pPr>
        <w:rPr>
          <w:b/>
          <w:bCs/>
        </w:rPr>
      </w:pPr>
      <w:r>
        <w:t>De IFRS for SMEs heeft slechts 230 pagina’s, dat is minder dan 10% van de full-IFRS die 2700 pagina’s heeft. Naast deze algemene verschillen zijn er specifieke verschillen in de balansposten, deze zijn te vinden in de bijlage. Uit deze verschillen kan geconcludeerd worden dat de IFRS for SMEs significant minder gedetailleerde richtlijnen, voorbeelden bevat en meerdere opties in het verslaggevingbeleid zijn niet toegestaan in vergelijking met de full-IFRS.</w:t>
      </w:r>
      <w:r>
        <w:rPr>
          <w:b/>
          <w:bCs/>
        </w:rPr>
        <w:t xml:space="preserve"> </w:t>
      </w:r>
      <w:r>
        <w:t>In bijzondere gevallen waarin geen specifieke richtlijnen beschikbaar zijn in de IFRS for SMEs, is een hiërarchie van verslaggeving (KMPG, 2010, p. 11):</w:t>
      </w:r>
    </w:p>
    <w:p w:rsidR="00374656" w:rsidRDefault="00374656" w:rsidP="001E23EF">
      <w:pPr>
        <w:pStyle w:val="ListParagraph"/>
        <w:numPr>
          <w:ilvl w:val="0"/>
          <w:numId w:val="4"/>
        </w:numPr>
        <w:contextualSpacing w:val="0"/>
      </w:pPr>
      <w:r>
        <w:t>de richtlijnen in de IFRS for SMEs van soortgelijke en gerelateerde zaken volgen,</w:t>
      </w:r>
    </w:p>
    <w:p w:rsidR="00374656" w:rsidRDefault="00374656" w:rsidP="001E23EF">
      <w:pPr>
        <w:pStyle w:val="ListParagraph"/>
        <w:numPr>
          <w:ilvl w:val="0"/>
          <w:numId w:val="4"/>
        </w:numPr>
        <w:contextualSpacing w:val="0"/>
      </w:pPr>
      <w:r>
        <w:t>de definities, de criteria voor verwerking en waardering in section 2 (concepten en principes) van de standaard volgen.</w:t>
      </w:r>
    </w:p>
    <w:p w:rsidR="00374656" w:rsidRDefault="00374656" w:rsidP="001E23EF">
      <w:pPr>
        <w:pStyle w:val="Heading3"/>
        <w:spacing w:line="336" w:lineRule="auto"/>
      </w:pPr>
      <w:bookmarkStart w:id="35" w:name="_Toc296778016"/>
      <w:r>
        <w:t>2.4 De conclusie</w:t>
      </w:r>
      <w:bookmarkEnd w:id="35"/>
    </w:p>
    <w:p w:rsidR="00374656" w:rsidRDefault="00374656" w:rsidP="001E23EF">
      <w:r>
        <w:t xml:space="preserve">De voorloper van de IASB, het IASC was opgericht teneinde verslaggevingstandaarden te ontwikkelen die wereldwijd geaccepteerd dienen te worden zodat de gebruikers van de financiële verslagen beter in staat zijn economische beslissingen te nemen. Aanvankelijk verliep het proces moeizaam doordat verschillende verslaggevingmogelijkheden toegestaan waren. Het samenwerken met de IOSCO heeft geleid tot beperking van deze mogelijkheden. In 2001 werden de verslaggevingstandaarden overgenomen door de IASB die vervolgens de IFRS opstelden. Ook standaarden met betrekking tot de SMEs werden ontwikkeld. Het betreft de ondernemingen die geen publieke verantwoordingsfuncties hebben, maar die wel de ‘General Purpose Financial statements’ moeten opstellen. In elk land geeft de jurisdictie aan welke ondernemingen de IFRS for SMEs kunnen of moeten toepassen. De IFRS for SMEs is een zelfstandige standaard en heeft evenals de full-IFRS een framework waarin de tien kwalitatieve kenmerken waaraan de SMEs dienen te voldoen, zijn beschreven. De IASB heeft geprobeerd de full-IFRS te vereenvoudigden en dat heeft uiteindelijk geleid tot de IFRS for SMEs. Deze standaard is een vereenvoudigde versie van de full-IFRS en heeft in vergelijking met de full-IFRS minder gedetailleerde richtlijnen. </w:t>
      </w:r>
    </w:p>
    <w:p w:rsidR="00374656" w:rsidRDefault="00374656" w:rsidP="001E23EF">
      <w:pPr>
        <w:spacing w:line="276" w:lineRule="auto"/>
        <w:jc w:val="left"/>
        <w:rPr>
          <w:b/>
          <w:bCs/>
          <w:sz w:val="32"/>
          <w:szCs w:val="32"/>
        </w:rPr>
      </w:pPr>
      <w:r>
        <w:br w:type="page"/>
      </w:r>
    </w:p>
    <w:p w:rsidR="00374656" w:rsidRDefault="00374656" w:rsidP="001E23EF">
      <w:pPr>
        <w:pStyle w:val="Heading1"/>
        <w:spacing w:line="336" w:lineRule="auto"/>
        <w:jc w:val="center"/>
      </w:pPr>
      <w:bookmarkStart w:id="36" w:name="_Toc296778017"/>
      <w:r>
        <w:t>Het theoretisch kader</w:t>
      </w:r>
      <w:bookmarkEnd w:id="36"/>
    </w:p>
    <w:p w:rsidR="00374656" w:rsidRDefault="00374656" w:rsidP="001E23EF">
      <w:pPr>
        <w:pStyle w:val="Heading2"/>
        <w:spacing w:line="336" w:lineRule="auto"/>
      </w:pPr>
      <w:bookmarkStart w:id="37" w:name="_Toc296778018"/>
      <w:r>
        <w:t>Hoofdstuk 3: De factoren</w:t>
      </w:r>
      <w:bookmarkEnd w:id="37"/>
      <w:r>
        <w:t xml:space="preserve"> </w:t>
      </w:r>
    </w:p>
    <w:p w:rsidR="00374656" w:rsidRDefault="00374656" w:rsidP="001E23EF">
      <w:r>
        <w:t xml:space="preserve">Zoals in het voorgaande hoofdstuk is beschreven, is de IFRS for SMEs definitief gepubliceerd in juli 2009. De landen mogen zelf bepalen of zij de IFRS for SMEs verplichten, toepassen of verbieden (European Commission, 2010). In dit hoofdstuk wordt aandacht besteed aan de factoren die bijdragen aan de verklaring van de verschillen tussen de landen in de percepties ten aanzien van de IFRS for SMEs. De factoren die worden besproken, zijn achtereenvolgens: de cultuur, de belastingregulering, de gebruikers van de financiële verslagen en de afweging tussen de kosten en baten. In iedere paragraaf wordt een factor besproken. Aan het einde van elk paragraaf wordt de invloed van iedere factor kort samengevat. </w:t>
      </w:r>
    </w:p>
    <w:p w:rsidR="00374656" w:rsidRDefault="00374656" w:rsidP="001E23EF">
      <w:pPr>
        <w:pStyle w:val="Heading3"/>
        <w:spacing w:line="336" w:lineRule="auto"/>
      </w:pPr>
      <w:bookmarkStart w:id="38" w:name="_Toc296778019"/>
      <w:r>
        <w:t>3.1 De cultuur</w:t>
      </w:r>
      <w:bookmarkEnd w:id="38"/>
    </w:p>
    <w:p w:rsidR="00374656" w:rsidRDefault="00374656" w:rsidP="001E23EF">
      <w:r>
        <w:t xml:space="preserve">De cultuur bepaalt de normen en waarden van een land en heeft op verschillende gebieden invloed zoals de fiscale systemen, juridische systemen, ondernemingsvormen (Deegan en Unerman, 2006) etc. Om de invloed van cultuur op het gebied van de externe verslaggeving te kunnen beschrijven, wordt het model van Gray (1988) gebruikt. Het model van Gray kan de internationale verschillen in verslaggevingsystemen verklaren en voorspellen. Het geeft het verband weer tussen de maatschappelijke waarden en de verslaggevingwaarden. </w:t>
      </w:r>
    </w:p>
    <w:p w:rsidR="00374656" w:rsidRDefault="00374656" w:rsidP="001E23EF">
      <w:r>
        <w:t>Gray heeft het onderzoek van Hofstede (1984) gebruikt waarin de elementen van cultuur werden onderzocht die het gedrag in werksituaties beïnvloeden. In dit onderzoek werden gegevens verzameld van vijftig landen over de waardesystemen van werknemers. Hieruit resulteren vier maatschappelijke waardedimensies die het werkgedrag beïnvloeden. De maatschappelijke waardedimensies van Hofstede zijn: individualism (het individualime), power distance (de machtafstand), uncertainty avoidance (onzekerheidsmijding) en masculinity (masculiniteit). De verschillen in de maatschappijen kunnen worden verklaard door de vier dimensies (Deegan en Unerman, 2006):</w:t>
      </w:r>
    </w:p>
    <w:p w:rsidR="00374656" w:rsidRDefault="00374656" w:rsidP="001E23EF">
      <w:pPr>
        <w:pStyle w:val="ListParagraph"/>
        <w:numPr>
          <w:ilvl w:val="0"/>
          <w:numId w:val="5"/>
        </w:numPr>
        <w:contextualSpacing w:val="0"/>
      </w:pPr>
      <w:r>
        <w:t xml:space="preserve">Individualisme versus collectivisme: het verband tussen de maatschappij en het individu. Het individualisme is gericht op het individu en hecht geen waarde aan de maatschappij. Het individu zorgt slechts voor zichzelf en zijn directe verwanten. In de economie kan deze term worden gerelateerd aan de agency theory waarin het eigenbelang van de agent (individu) tegenover het belang van de principaal staat. Het collectivisme daarentegen is gericht op de maatschappij als geheel. Hierbij wordt de nadruk gelegd op sociale netwerken. </w:t>
      </w:r>
    </w:p>
    <w:p w:rsidR="00374656" w:rsidRDefault="00374656" w:rsidP="001E23EF">
      <w:pPr>
        <w:pStyle w:val="ListParagraph"/>
        <w:numPr>
          <w:ilvl w:val="0"/>
          <w:numId w:val="5"/>
        </w:numPr>
        <w:contextualSpacing w:val="0"/>
      </w:pPr>
      <w:r>
        <w:t>Machtsafstand: geeft aan in hoeverre de macht onder bepaalde groepen wordt geaccepteerd. Bij een grote machtsafstand wordt verondersteld dat hiërarchische orde wordt geaccepteerd. Bij een kleine machtsafstand wordt geprobeerd om de macht te verdelen over de individuen. Rechtvaardigheid speelt hierbij een rol.</w:t>
      </w:r>
    </w:p>
    <w:p w:rsidR="00374656" w:rsidRDefault="00374656" w:rsidP="001E23EF">
      <w:pPr>
        <w:pStyle w:val="ListParagraph"/>
        <w:numPr>
          <w:ilvl w:val="0"/>
          <w:numId w:val="5"/>
        </w:numPr>
        <w:contextualSpacing w:val="0"/>
      </w:pPr>
      <w:r>
        <w:t xml:space="preserve">Onzekerheidsmijding: de mate van onzekerheid heeft invloed op de aanpak van de maatschappij ten aanzien van buitengewone situaties. De mensen in de maatschappijen met sterke onzekerheidsmijding voelen zich erg ongemakkelijk indien er sprake is van onzekerheid. Meningen die afwijken worden niet getolereerd. Indien er sprake is van zwakke onzekerheidsmijding worden meningen die afwijken sneller en gemakkelijker getolereerd.  </w:t>
      </w:r>
    </w:p>
    <w:p w:rsidR="00374656" w:rsidRDefault="00374656" w:rsidP="001E23EF">
      <w:pPr>
        <w:pStyle w:val="ListParagraph"/>
        <w:numPr>
          <w:ilvl w:val="0"/>
          <w:numId w:val="5"/>
        </w:numPr>
        <w:contextualSpacing w:val="0"/>
      </w:pPr>
      <w:r>
        <w:t xml:space="preserve">Masculiniteit versus femininiteit: de verdeling van de sociale rollen in de maatschappij. Bij masculiniteit wordt de nadruk gelegd op prestaties en successen. Bij femininiteit wordt de nadruk gelegd op bescheidenheid en relaties. </w:t>
      </w:r>
    </w:p>
    <w:p w:rsidR="00374656" w:rsidRDefault="00374656" w:rsidP="001E23EF">
      <w:r>
        <w:t>De beschreven dimensies worden door Gray vertaald in termen van verslaggevingwaarden:</w:t>
      </w:r>
    </w:p>
    <w:p w:rsidR="00374656" w:rsidRDefault="00374656" w:rsidP="001E23EF">
      <w:pPr>
        <w:pStyle w:val="ListParagraph"/>
        <w:numPr>
          <w:ilvl w:val="0"/>
          <w:numId w:val="6"/>
        </w:numPr>
        <w:contextualSpacing w:val="0"/>
      </w:pPr>
      <w:r>
        <w:t xml:space="preserve">Professionalism versus statutorial control: individuele oordeelsvorming staat tegenover het naleven van wettelijke regels. </w:t>
      </w:r>
    </w:p>
    <w:p w:rsidR="00374656" w:rsidRDefault="00374656" w:rsidP="001E23EF">
      <w:pPr>
        <w:pStyle w:val="ListParagraph"/>
        <w:numPr>
          <w:ilvl w:val="0"/>
          <w:numId w:val="6"/>
        </w:numPr>
        <w:contextualSpacing w:val="0"/>
      </w:pPr>
      <w:r>
        <w:t xml:space="preserve">Uniformity versus flexibility: uniforme verslaggeving versus flexibiliteit in de verslaggeving om ondernemingen de ruimte te geven de situaties correct weer te geven. </w:t>
      </w:r>
    </w:p>
    <w:p w:rsidR="00374656" w:rsidRDefault="00374656" w:rsidP="001E23EF">
      <w:pPr>
        <w:pStyle w:val="ListParagraph"/>
        <w:numPr>
          <w:ilvl w:val="0"/>
          <w:numId w:val="6"/>
        </w:numPr>
        <w:contextualSpacing w:val="0"/>
      </w:pPr>
      <w:r>
        <w:t xml:space="preserve">Secrecy versus transparency: gegevens alleen verstrekken aan directe betrokkenen versus transparantie van informatie. </w:t>
      </w:r>
    </w:p>
    <w:p w:rsidR="00374656" w:rsidRDefault="00374656" w:rsidP="001E23EF">
      <w:pPr>
        <w:pStyle w:val="ListParagraph"/>
        <w:numPr>
          <w:ilvl w:val="0"/>
          <w:numId w:val="6"/>
        </w:numPr>
        <w:contextualSpacing w:val="0"/>
      </w:pPr>
      <w:r>
        <w:t xml:space="preserve">Conservatisme versus optimisme: voorzichtige benadering versus optimistische benadering. </w:t>
      </w:r>
    </w:p>
    <w:p w:rsidR="00374656" w:rsidRDefault="00374656" w:rsidP="001E23EF">
      <w:r>
        <w:t>Gray heeft vervolgens vier hypotheses</w:t>
      </w:r>
      <w:r>
        <w:rPr>
          <w:rStyle w:val="FootnoteReference"/>
        </w:rPr>
        <w:footnoteReference w:id="3"/>
      </w:r>
      <w:r>
        <w:t xml:space="preserve"> opgesteld waarin de maatschappelijke waarden gerelateerd worden aan de verslaggevingwaarden. De hypotheses suggereren dat de belangrijkste maatschappelijke waarden de ‘uncertainty avoidance’ en de ‘indiviualism’ zijn (Bryer, 2004). Een kanttekening wordt hierbij geplaatst: uit het onderzoek van Saudagaran en Meek (1997) blijkt echter dat slechts ‘onzekerheidsmijding’ de voorspelde associatie heeft met de verslaggevingwaarden van Gray. Gray verklaart met behulp van de maatschappelijke waarden van Hofstede de verslaggevingpraktijken van landen. Ook andere onderzoekers hebben de maatschappelijke waarden gebruikt om de verschillen in verslaggevingpraktijken te verklaren zoals Zarzeski (1996) en Parera (1989). Zarzeski heeft de maatschappelijke waarden van Hofstede gebruikt om de corporate disclosure te verklaren. Hieruit blijkt dat internationale ondernemingen relatief meer transparante informatie verstrekken. Perera heeft een onderzoek gedaan naar de verschillen tussen het Anglo-Amerikaanse model en het Continent-Europees model, waarbij een koppeling wordt gemaakt aan de maatschappelijke waarde ‘onzekerheidsmijding’. Ook hieruit blijkt dat Frankrijk en Duitsland een hoog onzekerheidsmijding hebben. Een uniforme verslaggeving geniet de voorkeur boven de flexibele verslaggeving. </w:t>
      </w:r>
    </w:p>
    <w:p w:rsidR="00374656" w:rsidRDefault="00374656" w:rsidP="001E23EF">
      <w:r>
        <w:t>Daarna heeft Gray een koppeling gemaakt tussen zijn verslaggevingwaarden en de verslaggevingpraktijken.</w:t>
      </w:r>
    </w:p>
    <w:p w:rsidR="00374656" w:rsidRDefault="00374656" w:rsidP="001E23EF"/>
    <w:tbl>
      <w:tblPr>
        <w:tblW w:w="9051" w:type="dxa"/>
        <w:jc w:val="center"/>
        <w:tblCellMar>
          <w:left w:w="70" w:type="dxa"/>
          <w:right w:w="70" w:type="dxa"/>
        </w:tblCellMar>
        <w:tblLook w:val="0000"/>
      </w:tblPr>
      <w:tblGrid>
        <w:gridCol w:w="2838"/>
        <w:gridCol w:w="3198"/>
        <w:gridCol w:w="3015"/>
      </w:tblGrid>
      <w:tr w:rsidR="00374656" w:rsidRPr="00FF1C3C" w:rsidTr="00842650">
        <w:trPr>
          <w:trHeight w:val="300"/>
          <w:jc w:val="center"/>
        </w:trPr>
        <w:tc>
          <w:tcPr>
            <w:tcW w:w="2838" w:type="dxa"/>
            <w:tcBorders>
              <w:top w:val="single" w:sz="4" w:space="0" w:color="auto"/>
              <w:left w:val="single" w:sz="4" w:space="0" w:color="auto"/>
              <w:bottom w:val="single" w:sz="4" w:space="0" w:color="auto"/>
              <w:right w:val="single" w:sz="4" w:space="0" w:color="auto"/>
            </w:tcBorders>
            <w:noWrap/>
            <w:vAlign w:val="bottom"/>
          </w:tcPr>
          <w:p w:rsidR="00374656" w:rsidRPr="00FF1C3C" w:rsidRDefault="00374656" w:rsidP="00842650">
            <w:pPr>
              <w:spacing w:after="0"/>
              <w:rPr>
                <w:b/>
                <w:bCs/>
                <w:color w:val="000000"/>
                <w:lang w:eastAsia="nl-NL"/>
              </w:rPr>
            </w:pPr>
            <w:r w:rsidRPr="00FF1C3C">
              <w:rPr>
                <w:b/>
                <w:bCs/>
                <w:color w:val="000000"/>
                <w:lang w:eastAsia="nl-NL"/>
              </w:rPr>
              <w:t>Maatschappelijke waarden</w:t>
            </w:r>
          </w:p>
        </w:tc>
        <w:tc>
          <w:tcPr>
            <w:tcW w:w="3198" w:type="dxa"/>
            <w:tcBorders>
              <w:top w:val="single" w:sz="4" w:space="0" w:color="auto"/>
              <w:left w:val="nil"/>
              <w:bottom w:val="single" w:sz="4" w:space="0" w:color="auto"/>
              <w:right w:val="single" w:sz="4" w:space="0" w:color="auto"/>
            </w:tcBorders>
            <w:vAlign w:val="center"/>
          </w:tcPr>
          <w:p w:rsidR="00374656" w:rsidRPr="00FF1C3C" w:rsidRDefault="00374656" w:rsidP="00842650">
            <w:pPr>
              <w:spacing w:after="0"/>
              <w:rPr>
                <w:b/>
                <w:bCs/>
                <w:color w:val="000000"/>
                <w:lang w:eastAsia="nl-NL"/>
              </w:rPr>
            </w:pPr>
            <w:r w:rsidRPr="00FF1C3C">
              <w:rPr>
                <w:b/>
                <w:bCs/>
                <w:color w:val="000000"/>
                <w:lang w:eastAsia="nl-NL"/>
              </w:rPr>
              <w:t>Verslaggevingwaarden</w:t>
            </w:r>
          </w:p>
        </w:tc>
        <w:tc>
          <w:tcPr>
            <w:tcW w:w="3015" w:type="dxa"/>
            <w:tcBorders>
              <w:top w:val="single" w:sz="4" w:space="0" w:color="auto"/>
              <w:left w:val="nil"/>
              <w:bottom w:val="single" w:sz="4" w:space="0" w:color="auto"/>
              <w:right w:val="single" w:sz="4" w:space="0" w:color="auto"/>
            </w:tcBorders>
            <w:vAlign w:val="center"/>
          </w:tcPr>
          <w:p w:rsidR="00374656" w:rsidRPr="00FF1C3C" w:rsidRDefault="00374656" w:rsidP="00842650">
            <w:pPr>
              <w:spacing w:after="0"/>
              <w:rPr>
                <w:b/>
                <w:bCs/>
                <w:color w:val="000000"/>
                <w:lang w:eastAsia="nl-NL"/>
              </w:rPr>
            </w:pPr>
            <w:r w:rsidRPr="00FF1C3C">
              <w:rPr>
                <w:b/>
                <w:bCs/>
                <w:color w:val="000000"/>
                <w:lang w:eastAsia="nl-NL"/>
              </w:rPr>
              <w:t>Verslaggevingpraktijken</w:t>
            </w:r>
          </w:p>
        </w:tc>
      </w:tr>
      <w:tr w:rsidR="00374656" w:rsidRPr="00FF1C3C" w:rsidTr="00842650">
        <w:trPr>
          <w:cantSplit/>
          <w:trHeight w:val="600"/>
          <w:jc w:val="center"/>
        </w:trPr>
        <w:tc>
          <w:tcPr>
            <w:tcW w:w="2838" w:type="dxa"/>
            <w:tcBorders>
              <w:top w:val="nil"/>
              <w:left w:val="single" w:sz="4" w:space="0" w:color="auto"/>
              <w:bottom w:val="single" w:sz="4" w:space="0" w:color="auto"/>
              <w:right w:val="single" w:sz="4" w:space="0" w:color="auto"/>
            </w:tcBorders>
            <w:noWrap/>
          </w:tcPr>
          <w:p w:rsidR="00374656" w:rsidRPr="00FF1C3C" w:rsidRDefault="00374656" w:rsidP="00842650">
            <w:pPr>
              <w:spacing w:after="0"/>
              <w:rPr>
                <w:color w:val="000000"/>
                <w:lang w:eastAsia="nl-NL"/>
              </w:rPr>
            </w:pPr>
            <w:r w:rsidRPr="00FF1C3C">
              <w:rPr>
                <w:color w:val="000000"/>
                <w:lang w:eastAsia="nl-NL"/>
              </w:rPr>
              <w:t>Individualisme/ collectivisme</w:t>
            </w:r>
          </w:p>
        </w:tc>
        <w:tc>
          <w:tcPr>
            <w:tcW w:w="3198" w:type="dxa"/>
            <w:tcBorders>
              <w:top w:val="nil"/>
              <w:left w:val="nil"/>
              <w:bottom w:val="single" w:sz="4" w:space="0" w:color="auto"/>
              <w:right w:val="single" w:sz="4" w:space="0" w:color="auto"/>
            </w:tcBorders>
          </w:tcPr>
          <w:p w:rsidR="00374656" w:rsidRPr="00FF1C3C" w:rsidRDefault="00374656" w:rsidP="00842650">
            <w:pPr>
              <w:spacing w:after="0"/>
              <w:rPr>
                <w:color w:val="000000"/>
                <w:lang w:val="en-US" w:eastAsia="nl-NL"/>
              </w:rPr>
            </w:pPr>
            <w:r w:rsidRPr="00FF1C3C">
              <w:rPr>
                <w:color w:val="000000"/>
                <w:lang w:val="en-US" w:eastAsia="nl-NL"/>
              </w:rPr>
              <w:t xml:space="preserve">Professionalisme-statutory control </w:t>
            </w:r>
          </w:p>
        </w:tc>
        <w:tc>
          <w:tcPr>
            <w:tcW w:w="3015" w:type="dxa"/>
            <w:vMerge w:val="restart"/>
            <w:tcBorders>
              <w:top w:val="nil"/>
              <w:left w:val="single" w:sz="4" w:space="0" w:color="auto"/>
              <w:bottom w:val="single" w:sz="4" w:space="0" w:color="auto"/>
              <w:right w:val="single" w:sz="4" w:space="0" w:color="auto"/>
            </w:tcBorders>
            <w:vAlign w:val="center"/>
          </w:tcPr>
          <w:p w:rsidR="00374656" w:rsidRPr="00FF1C3C" w:rsidRDefault="00374656" w:rsidP="00842650">
            <w:pPr>
              <w:spacing w:after="0"/>
              <w:rPr>
                <w:color w:val="000000"/>
                <w:lang w:val="en-US" w:eastAsia="nl-NL"/>
              </w:rPr>
            </w:pPr>
            <w:r w:rsidRPr="00FF1C3C">
              <w:rPr>
                <w:color w:val="000000"/>
                <w:lang w:val="en-US" w:eastAsia="nl-NL"/>
              </w:rPr>
              <w:t>Authority and enforcement</w:t>
            </w:r>
          </w:p>
        </w:tc>
      </w:tr>
      <w:tr w:rsidR="00374656" w:rsidRPr="00FF1C3C" w:rsidTr="00842650">
        <w:trPr>
          <w:cantSplit/>
          <w:trHeight w:val="300"/>
          <w:jc w:val="center"/>
        </w:trPr>
        <w:tc>
          <w:tcPr>
            <w:tcW w:w="2838" w:type="dxa"/>
            <w:tcBorders>
              <w:top w:val="nil"/>
              <w:left w:val="single" w:sz="4" w:space="0" w:color="auto"/>
              <w:bottom w:val="single" w:sz="4" w:space="0" w:color="auto"/>
              <w:right w:val="single" w:sz="4" w:space="0" w:color="auto"/>
            </w:tcBorders>
            <w:noWrap/>
            <w:vAlign w:val="bottom"/>
          </w:tcPr>
          <w:p w:rsidR="00374656" w:rsidRPr="00FF1C3C" w:rsidRDefault="00374656" w:rsidP="00842650">
            <w:pPr>
              <w:spacing w:after="0"/>
              <w:rPr>
                <w:color w:val="000000"/>
                <w:lang w:val="en-US" w:eastAsia="nl-NL"/>
              </w:rPr>
            </w:pPr>
            <w:r w:rsidRPr="00FF1C3C">
              <w:rPr>
                <w:color w:val="000000"/>
                <w:lang w:val="en-US" w:eastAsia="nl-NL"/>
              </w:rPr>
              <w:t>Machtsafstand</w:t>
            </w:r>
          </w:p>
        </w:tc>
        <w:tc>
          <w:tcPr>
            <w:tcW w:w="3198" w:type="dxa"/>
            <w:tcBorders>
              <w:top w:val="nil"/>
              <w:left w:val="nil"/>
              <w:bottom w:val="single" w:sz="4" w:space="0" w:color="auto"/>
              <w:right w:val="single" w:sz="4" w:space="0" w:color="auto"/>
            </w:tcBorders>
          </w:tcPr>
          <w:p w:rsidR="00374656" w:rsidRPr="00FF1C3C" w:rsidRDefault="00374656" w:rsidP="00842650">
            <w:pPr>
              <w:spacing w:after="0"/>
              <w:rPr>
                <w:color w:val="000000"/>
                <w:lang w:val="en-US" w:eastAsia="nl-NL"/>
              </w:rPr>
            </w:pPr>
            <w:r w:rsidRPr="00FF1C3C">
              <w:rPr>
                <w:color w:val="000000"/>
                <w:lang w:val="en-US" w:eastAsia="nl-NL"/>
              </w:rPr>
              <w:t>Uniformity-optimism</w:t>
            </w:r>
          </w:p>
        </w:tc>
        <w:tc>
          <w:tcPr>
            <w:tcW w:w="3015" w:type="dxa"/>
            <w:vMerge/>
            <w:tcBorders>
              <w:top w:val="nil"/>
              <w:left w:val="single" w:sz="4" w:space="0" w:color="auto"/>
              <w:bottom w:val="single" w:sz="4" w:space="0" w:color="auto"/>
              <w:right w:val="single" w:sz="4" w:space="0" w:color="auto"/>
            </w:tcBorders>
            <w:vAlign w:val="center"/>
          </w:tcPr>
          <w:p w:rsidR="00374656" w:rsidRPr="00FF1C3C" w:rsidRDefault="00374656" w:rsidP="00842650">
            <w:pPr>
              <w:spacing w:after="0"/>
              <w:rPr>
                <w:color w:val="000000"/>
                <w:lang w:val="en-US" w:eastAsia="nl-NL"/>
              </w:rPr>
            </w:pPr>
          </w:p>
        </w:tc>
      </w:tr>
      <w:tr w:rsidR="00374656" w:rsidRPr="00FF1C3C" w:rsidTr="00842650">
        <w:trPr>
          <w:trHeight w:val="300"/>
          <w:jc w:val="center"/>
        </w:trPr>
        <w:tc>
          <w:tcPr>
            <w:tcW w:w="2838" w:type="dxa"/>
            <w:tcBorders>
              <w:top w:val="nil"/>
              <w:left w:val="single" w:sz="4" w:space="0" w:color="auto"/>
              <w:bottom w:val="single" w:sz="4" w:space="0" w:color="auto"/>
              <w:right w:val="single" w:sz="4" w:space="0" w:color="auto"/>
            </w:tcBorders>
            <w:noWrap/>
            <w:vAlign w:val="bottom"/>
          </w:tcPr>
          <w:p w:rsidR="00374656" w:rsidRPr="00FF1C3C" w:rsidRDefault="00374656" w:rsidP="00842650">
            <w:pPr>
              <w:spacing w:after="0"/>
              <w:rPr>
                <w:color w:val="000000"/>
                <w:lang w:eastAsia="nl-NL"/>
              </w:rPr>
            </w:pPr>
            <w:r w:rsidRPr="00FF1C3C">
              <w:rPr>
                <w:color w:val="000000"/>
                <w:lang w:eastAsia="nl-NL"/>
              </w:rPr>
              <w:t>Onzekerheidsmijding</w:t>
            </w:r>
          </w:p>
        </w:tc>
        <w:tc>
          <w:tcPr>
            <w:tcW w:w="3198" w:type="dxa"/>
            <w:tcBorders>
              <w:top w:val="nil"/>
              <w:left w:val="nil"/>
              <w:bottom w:val="single" w:sz="4" w:space="0" w:color="auto"/>
              <w:right w:val="single" w:sz="4" w:space="0" w:color="auto"/>
            </w:tcBorders>
            <w:noWrap/>
            <w:vAlign w:val="bottom"/>
          </w:tcPr>
          <w:p w:rsidR="00374656" w:rsidRPr="00FF1C3C" w:rsidRDefault="00374656" w:rsidP="00842650">
            <w:pPr>
              <w:spacing w:after="0"/>
              <w:rPr>
                <w:color w:val="000000"/>
                <w:lang w:eastAsia="nl-NL"/>
              </w:rPr>
            </w:pPr>
            <w:r w:rsidRPr="00FF1C3C">
              <w:rPr>
                <w:color w:val="000000"/>
                <w:lang w:eastAsia="nl-NL"/>
              </w:rPr>
              <w:t>Convervatism-optimism</w:t>
            </w:r>
          </w:p>
        </w:tc>
        <w:tc>
          <w:tcPr>
            <w:tcW w:w="3015" w:type="dxa"/>
            <w:tcBorders>
              <w:top w:val="nil"/>
              <w:left w:val="nil"/>
              <w:bottom w:val="single" w:sz="4" w:space="0" w:color="auto"/>
              <w:right w:val="single" w:sz="4" w:space="0" w:color="auto"/>
            </w:tcBorders>
            <w:noWrap/>
            <w:vAlign w:val="bottom"/>
          </w:tcPr>
          <w:p w:rsidR="00374656" w:rsidRPr="00FF1C3C" w:rsidRDefault="00374656" w:rsidP="00842650">
            <w:pPr>
              <w:spacing w:after="0"/>
              <w:rPr>
                <w:color w:val="000000"/>
                <w:lang w:val="en-US" w:eastAsia="nl-NL"/>
              </w:rPr>
            </w:pPr>
            <w:r w:rsidRPr="00FF1C3C">
              <w:rPr>
                <w:color w:val="000000"/>
                <w:lang w:val="en-US" w:eastAsia="nl-NL"/>
              </w:rPr>
              <w:t>Measurement of assets/profits</w:t>
            </w:r>
          </w:p>
        </w:tc>
      </w:tr>
      <w:tr w:rsidR="00374656" w:rsidRPr="00FF1C3C" w:rsidTr="00842650">
        <w:trPr>
          <w:trHeight w:val="300"/>
          <w:jc w:val="center"/>
        </w:trPr>
        <w:tc>
          <w:tcPr>
            <w:tcW w:w="2838" w:type="dxa"/>
            <w:tcBorders>
              <w:top w:val="nil"/>
              <w:left w:val="single" w:sz="4" w:space="0" w:color="auto"/>
              <w:bottom w:val="single" w:sz="4" w:space="0" w:color="auto"/>
              <w:right w:val="single" w:sz="4" w:space="0" w:color="auto"/>
            </w:tcBorders>
            <w:noWrap/>
            <w:vAlign w:val="bottom"/>
          </w:tcPr>
          <w:p w:rsidR="00374656" w:rsidRPr="00FF1C3C" w:rsidRDefault="00374656" w:rsidP="00842650">
            <w:pPr>
              <w:spacing w:after="0"/>
              <w:rPr>
                <w:color w:val="000000"/>
                <w:lang w:eastAsia="nl-NL"/>
              </w:rPr>
            </w:pPr>
            <w:r w:rsidRPr="00FF1C3C">
              <w:rPr>
                <w:color w:val="000000"/>
                <w:lang w:eastAsia="nl-NL"/>
              </w:rPr>
              <w:t>Masculiniteit/femininiteit</w:t>
            </w:r>
          </w:p>
        </w:tc>
        <w:tc>
          <w:tcPr>
            <w:tcW w:w="3198" w:type="dxa"/>
            <w:tcBorders>
              <w:top w:val="nil"/>
              <w:left w:val="nil"/>
              <w:bottom w:val="single" w:sz="4" w:space="0" w:color="auto"/>
              <w:right w:val="single" w:sz="4" w:space="0" w:color="auto"/>
            </w:tcBorders>
            <w:noWrap/>
            <w:vAlign w:val="bottom"/>
          </w:tcPr>
          <w:p w:rsidR="00374656" w:rsidRPr="00FF1C3C" w:rsidRDefault="00374656" w:rsidP="00842650">
            <w:pPr>
              <w:spacing w:after="0"/>
              <w:rPr>
                <w:color w:val="000000"/>
                <w:lang w:eastAsia="nl-NL"/>
              </w:rPr>
            </w:pPr>
            <w:r w:rsidRPr="00FF1C3C">
              <w:rPr>
                <w:color w:val="000000"/>
                <w:lang w:eastAsia="nl-NL"/>
              </w:rPr>
              <w:t>Secrecy-transparency</w:t>
            </w:r>
          </w:p>
        </w:tc>
        <w:tc>
          <w:tcPr>
            <w:tcW w:w="3015" w:type="dxa"/>
            <w:tcBorders>
              <w:top w:val="nil"/>
              <w:left w:val="nil"/>
              <w:bottom w:val="single" w:sz="4" w:space="0" w:color="auto"/>
              <w:right w:val="single" w:sz="4" w:space="0" w:color="auto"/>
            </w:tcBorders>
            <w:noWrap/>
            <w:vAlign w:val="bottom"/>
          </w:tcPr>
          <w:p w:rsidR="00374656" w:rsidRPr="00FF1C3C" w:rsidRDefault="00374656" w:rsidP="00842650">
            <w:pPr>
              <w:spacing w:after="0"/>
              <w:rPr>
                <w:color w:val="000000"/>
                <w:lang w:eastAsia="nl-NL"/>
              </w:rPr>
            </w:pPr>
            <w:r w:rsidRPr="00FF1C3C">
              <w:rPr>
                <w:color w:val="000000"/>
                <w:lang w:eastAsia="nl-NL"/>
              </w:rPr>
              <w:t>Information disclosure</w:t>
            </w:r>
          </w:p>
        </w:tc>
      </w:tr>
      <w:tr w:rsidR="00374656" w:rsidRPr="00FF1C3C" w:rsidTr="00842650">
        <w:trPr>
          <w:trHeight w:val="300"/>
          <w:jc w:val="center"/>
        </w:trPr>
        <w:tc>
          <w:tcPr>
            <w:tcW w:w="9051" w:type="dxa"/>
            <w:gridSpan w:val="3"/>
            <w:tcBorders>
              <w:top w:val="single" w:sz="4" w:space="0" w:color="auto"/>
              <w:left w:val="single" w:sz="4" w:space="0" w:color="auto"/>
              <w:bottom w:val="single" w:sz="4" w:space="0" w:color="auto"/>
              <w:right w:val="single" w:sz="4" w:space="0" w:color="auto"/>
            </w:tcBorders>
            <w:noWrap/>
            <w:vAlign w:val="bottom"/>
          </w:tcPr>
          <w:p w:rsidR="00374656" w:rsidRPr="00FF1C3C" w:rsidRDefault="00374656" w:rsidP="00842650">
            <w:pPr>
              <w:spacing w:after="0"/>
              <w:jc w:val="center"/>
              <w:rPr>
                <w:color w:val="000000"/>
                <w:lang w:eastAsia="nl-NL"/>
              </w:rPr>
            </w:pPr>
            <w:r w:rsidRPr="00FF1C3C">
              <w:rPr>
                <w:color w:val="000000"/>
                <w:lang w:eastAsia="nl-NL"/>
              </w:rPr>
              <w:t xml:space="preserve">      </w:t>
            </w:r>
            <w:r w:rsidRPr="00FF1C3C">
              <w:rPr>
                <w:color w:val="000000"/>
                <w:lang w:eastAsia="nl-NL"/>
              </w:rPr>
              <w:sym w:font="Wingdings" w:char="F0DF"/>
            </w:r>
            <w:r w:rsidRPr="00FF1C3C">
              <w:rPr>
                <w:color w:val="000000"/>
                <w:lang w:eastAsia="nl-NL"/>
              </w:rPr>
              <w:t xml:space="preserve"> Versterking                                           </w:t>
            </w:r>
            <w:r w:rsidRPr="00FF1C3C">
              <w:rPr>
                <w:color w:val="000000"/>
                <w:lang w:eastAsia="nl-NL"/>
              </w:rPr>
              <w:sym w:font="Wingdings" w:char="F0DF"/>
            </w:r>
            <w:r w:rsidRPr="00FF1C3C">
              <w:rPr>
                <w:color w:val="000000"/>
                <w:lang w:eastAsia="nl-NL"/>
              </w:rPr>
              <w:t xml:space="preserve"> Versterking </w:t>
            </w:r>
          </w:p>
        </w:tc>
      </w:tr>
    </w:tbl>
    <w:p w:rsidR="00374656" w:rsidRDefault="00374656" w:rsidP="001E23EF">
      <w:pPr>
        <w:rPr>
          <w:sz w:val="18"/>
          <w:szCs w:val="18"/>
        </w:rPr>
      </w:pPr>
      <w:r>
        <w:rPr>
          <w:sz w:val="18"/>
          <w:szCs w:val="18"/>
        </w:rPr>
        <w:t>Bron: Fechner en Kilgore, 1994</w:t>
      </w:r>
    </w:p>
    <w:p w:rsidR="00374656" w:rsidRDefault="00374656" w:rsidP="001E23EF">
      <w:r>
        <w:t xml:space="preserve">De volgende conclusies kunnen worden getrokken uit het onderzoek van Gray (Deegan en Unerman, 2006). Ten eerste worden verslaggevingwaarden gevormd door maatschappelijke waarden. Ten tweede wordt de ontwikkeling van verslaggevingpraktijken in verschillende landen bepaald door de verslaggevingwaarden. Ten derde worden de verslaggevingwaarden versterkt door de verslaggevingpraktijken. Als laatste worden de maatschappelijke waardesystemen versterkt door de verslaggevingwaarden. </w:t>
      </w:r>
    </w:p>
    <w:p w:rsidR="00374656" w:rsidRDefault="00374656" w:rsidP="001E23EF">
      <w:r>
        <w:t xml:space="preserve">Gegeven dat de Verenigde Staten en het Verenigd Koninkrijk geassocieerd worden met een hoge waarde van individualisme en een lage onzekerheidsmijding, kan dus worden verklaard waarom deze landen onafhankelijke professionele accountants gebruiken, flexibele accounting principes volgen, optimistische verslaggeving en transparante rapportage hebben. Daarentegen worden Duitsland, Frankrijk en Italië geassocieerd met een hoge onzekerheidsmijding en collectivisme, dat verklaart waarom de verslaggevingpraktijken gekenmerkt worden door uniformiteit, conservatisme en secrecy zijn (Bryer, 2004). Uit het model van Gray kan worden afgeleid dat Angelsaksische en Noord-Europese gebieden gekenmerkt worden door </w:t>
      </w:r>
      <w:r>
        <w:rPr>
          <w:i/>
          <w:iCs/>
        </w:rPr>
        <w:t>professionalism, flexibility, optimism</w:t>
      </w:r>
      <w:r>
        <w:t xml:space="preserve"> en </w:t>
      </w:r>
      <w:r>
        <w:rPr>
          <w:i/>
          <w:iCs/>
        </w:rPr>
        <w:t>transparency</w:t>
      </w:r>
      <w:r>
        <w:t xml:space="preserve"> en Germaanse en Romaanse gebieden worden gekenmerkt door </w:t>
      </w:r>
      <w:r>
        <w:rPr>
          <w:i/>
          <w:iCs/>
        </w:rPr>
        <w:t>statutory control, uniformity, conservatism</w:t>
      </w:r>
      <w:r>
        <w:t xml:space="preserve"> en </w:t>
      </w:r>
      <w:r>
        <w:rPr>
          <w:i/>
          <w:iCs/>
        </w:rPr>
        <w:t>secrecy</w:t>
      </w:r>
      <w:r>
        <w:t>. Al met al kan worden geconcludeerd dat verslaggevingpraktijken producten zijn van de culturele omgeving, maar de verslaggevingpraktijken vormen en versterken ook de specifieke karakteristieken van deze culturele omgeving, aldus Gray (Deegan en Unerman, 2006).</w:t>
      </w:r>
    </w:p>
    <w:p w:rsidR="00374656" w:rsidRDefault="00374656" w:rsidP="001E23EF"/>
    <w:p w:rsidR="00374656" w:rsidRDefault="00374656" w:rsidP="001E23EF">
      <w:pPr>
        <w:pStyle w:val="Heading3"/>
        <w:spacing w:line="336" w:lineRule="auto"/>
      </w:pPr>
      <w:bookmarkStart w:id="39" w:name="_Toc296778020"/>
      <w:r>
        <w:t>3.2 De belastingregulering</w:t>
      </w:r>
      <w:bookmarkEnd w:id="39"/>
    </w:p>
    <w:p w:rsidR="00374656" w:rsidRDefault="00374656" w:rsidP="001E23EF">
      <w:r>
        <w:t>Naast de verschillen in de cultuur, draagt ook het verschil in belastingregulering bij aan de verklaring van de verschillen in de percepties ten aanzien van de invoering van de IFRS for SMEs. Ondernemingen zijn niet verplicht om de IFRS en de IFRS for SMEs als basis te gebruiken voor belastingdoeleinden (Newton, 2006). De beslissing berust bij de individuele belastingautoriteiten in elk land van de EU. De vraag rijst of de IFRS en de IFRS for SMEs geschikt zijn om als basis te gebruiken voor het berekenen van winsten ten behoeve van belastingdoeleinden. Volgens Newton (2006) kan hierop geen specifiek antwoord gegeven worden. Van belang is de bepaling of de fundamentele concepten van de IFRS consistent zijn met de concepten van een eerlijk belastingsysteem, gezien vanuit zowel het perspectief van de belastingbetalers als van de belastingautoriteiten. De centrale focus van de IASB ligt op het verschaffen van informatie aan kapitaalverschaffers (de investeerders). In het framework van de IFRS worden dan ook principes uiteengezet rekeninghoudend met investeerders. Verondersteld wordt dat indien aan de behoeften van de investeerders wordt voldaan, dan wordt ook voldaan aan de behoeften van andere gebruikers van financiële verslagen. Dat de IFRS als investor-focused wordt beschouwd, wordt ondersteund door de onderliggende principes van de IFRS (Newton, 2006):</w:t>
      </w:r>
    </w:p>
    <w:p w:rsidR="00374656" w:rsidRDefault="00374656" w:rsidP="001E23EF">
      <w:pPr>
        <w:pStyle w:val="ListParagraph"/>
        <w:numPr>
          <w:ilvl w:val="0"/>
          <w:numId w:val="7"/>
        </w:numPr>
        <w:contextualSpacing w:val="0"/>
      </w:pPr>
      <w:r>
        <w:t xml:space="preserve">De balansbenadering: de balansbenadering staat centraal bij de IFRS. Het uitgangspunt is dat investeerders op basis van de balans voldoende informatie verkrijgen om economische beslissingen te kunnen nemen. De winst- en verliesrekening wordt gezien als een secundair verslag. </w:t>
      </w:r>
    </w:p>
    <w:p w:rsidR="00374656" w:rsidRDefault="00374656" w:rsidP="001E23EF">
      <w:pPr>
        <w:pStyle w:val="ListParagraph"/>
        <w:numPr>
          <w:ilvl w:val="0"/>
          <w:numId w:val="7"/>
        </w:numPr>
        <w:contextualSpacing w:val="0"/>
      </w:pPr>
      <w:r>
        <w:t xml:space="preserve">Het gebruik van de fair value: de financiële positie van een onderneming wordt beoordeeld op basis van de vraag in hoeverre de onderneming cash en cashequivalenten kunnen genereren. De waardering tegen fair value geniet de voorkeur boven de historische kosten waardering omdat de informatie op basis van de fair value relevanter is. </w:t>
      </w:r>
    </w:p>
    <w:p w:rsidR="00374656" w:rsidRDefault="00374656" w:rsidP="001E23EF">
      <w:pPr>
        <w:pStyle w:val="ListParagraph"/>
        <w:numPr>
          <w:ilvl w:val="0"/>
          <w:numId w:val="7"/>
        </w:numPr>
        <w:contextualSpacing w:val="0"/>
      </w:pPr>
      <w:r>
        <w:t>Substance over form concept: de IFRS gaat uit van de economische realiteit en niet alleen de juridische vorm. Dit komt overeen met het perspectief van de investeerders. In de ogen van de investeerders is de economische positie van de onderneming belangrijker dan de juridische vorm.</w:t>
      </w:r>
    </w:p>
    <w:p w:rsidR="00374656" w:rsidRDefault="00374656" w:rsidP="001E23EF">
      <w:r>
        <w:t xml:space="preserve">Het doel van de IASB kan worden gezien als forward-looking, terwijl het doel van de belastingautoriteiten juist backward-looking is, namelijk het bepalen van het correcte belastingbedrag dat betaald moet worden, waarbij de prestaties uit het verleden in acht worden genomen (Newton, 2006, p. 4). Gegeven dat belastingautoriteiten geen forward-looking economische beslissingen maken zoals investeerders, rijst de vraag of financiële informatie die de behoeften van de investeerders tegemoet komen, ook de aan de eisen van de belastingautoriteiten in de desbetreffende landen voldoen. </w:t>
      </w:r>
    </w:p>
    <w:p w:rsidR="00374656" w:rsidRDefault="00374656" w:rsidP="001E23EF">
      <w:r>
        <w:t>De vorm van het belastingsysteem dat geldend is in een land is ook van invloed op de bereidheid tot de invoering van de IFRS for SMEs. Er zijn drie belastingbenaderingen (Newton, 2006):</w:t>
      </w:r>
    </w:p>
    <w:p w:rsidR="00374656" w:rsidRDefault="00374656" w:rsidP="001E23EF">
      <w:pPr>
        <w:pStyle w:val="ListParagraph"/>
        <w:numPr>
          <w:ilvl w:val="0"/>
          <w:numId w:val="7"/>
        </w:numPr>
        <w:contextualSpacing w:val="0"/>
      </w:pPr>
      <w:r>
        <w:t xml:space="preserve">De onafhankelijke benadering: de benadering waarin de fiscale winst- en vermogensbepaling worden berekend met een specifieke set van belastingregels, onafhankelijk van de bedrijfseconomische winst- en vermogensbepaling. </w:t>
      </w:r>
    </w:p>
    <w:p w:rsidR="00374656" w:rsidRDefault="00374656" w:rsidP="001E23EF">
      <w:pPr>
        <w:pStyle w:val="ListParagraph"/>
        <w:numPr>
          <w:ilvl w:val="0"/>
          <w:numId w:val="7"/>
        </w:numPr>
        <w:contextualSpacing w:val="0"/>
      </w:pPr>
      <w:r>
        <w:t xml:space="preserve">De afhankelijke benadering: de benadering waarin een sterke link is tussen fiscale winst- vermogensbepaling en bedrijfseconomische winst- en vermogensbepaling. Het te betalen belastingbedrag zal veranderen als de winsten veranderen als gevolg van de invoering van de IFRS for SMEs. </w:t>
      </w:r>
    </w:p>
    <w:p w:rsidR="00374656" w:rsidRDefault="00374656" w:rsidP="001E23EF">
      <w:pPr>
        <w:pStyle w:val="ListParagraph"/>
        <w:numPr>
          <w:ilvl w:val="0"/>
          <w:numId w:val="7"/>
        </w:numPr>
        <w:contextualSpacing w:val="0"/>
      </w:pPr>
      <w:r>
        <w:t xml:space="preserve">De quasi-afhankelijke benadering: de IFRS wordt als basis gebruikt maar afwijkingen zijn toegestaan wanneer goede redenen zijn. </w:t>
      </w:r>
    </w:p>
    <w:p w:rsidR="00374656" w:rsidRDefault="00374656" w:rsidP="001E23EF">
      <w:r>
        <w:t>De quasi-afhankelijke benadering kan als de beste benadering worden gezien (Newton, 2006). De belastingbetaler kan één set van verslaggevingregels aanhouden en belastingmismatch en belastingvolatiliteit kunnen worden voorkomen. De belastingautoriteiten kunnen de complete controle handhaven over het belastingbeleid.</w:t>
      </w:r>
    </w:p>
    <w:p w:rsidR="00374656" w:rsidRDefault="00374656" w:rsidP="001E23EF">
      <w:r>
        <w:t xml:space="preserve">De toepassing van IFRS for SMEs in landen die de afhankelijke en de quasi-afhankelijke benadering volgen, zal een materieel effect hebben op de belastingverplichtingen. Naarmate in een land een sterkere koppeling aanwezig is tussen fiscale en bedrijfseconomische winstbepaling op basis van locale GAAP zullen er striktere verslaggevingregels gelden. Er kan worden verondersteld dat de invoering van de IFRS for SMEs in deze landen daarom niet gewenst is. In de meeste Europese landen worden de jaarrekeningen gebruikt om de belastingen te berekenen (Deegan en Unerman, 2006). Belastingautoriteiten zijn daarom ook belangrijke gebruikers van de financiële verslagen die van invloed zijn op de perceptie, die besproken worden in de volgende paragraaf. </w:t>
      </w:r>
    </w:p>
    <w:p w:rsidR="00374656" w:rsidRDefault="00374656" w:rsidP="001E23EF"/>
    <w:p w:rsidR="00374656" w:rsidRDefault="00374656" w:rsidP="001E23EF">
      <w:pPr>
        <w:pStyle w:val="Heading3"/>
        <w:spacing w:line="336" w:lineRule="auto"/>
      </w:pPr>
      <w:bookmarkStart w:id="40" w:name="_Toc296778021"/>
      <w:r>
        <w:t>3.3 De gebruikers van de financiële verslagen</w:t>
      </w:r>
      <w:bookmarkEnd w:id="40"/>
    </w:p>
    <w:p w:rsidR="00374656" w:rsidRDefault="00374656" w:rsidP="001E23EF">
      <w:pPr>
        <w:tabs>
          <w:tab w:val="left" w:pos="3686"/>
        </w:tabs>
      </w:pPr>
      <w:r>
        <w:t>Zoals in hoofdstuk twee is beschreven, is de IFRS for SMEs bestemd voor niet-beursgenoteerde ondernemingen die de General Purpose Financial Statements moeten publiceren voor externe gebruikers. Onder de externe gebruikers vallen volgens de IASB (IFRS for SMEs, BC80):</w:t>
      </w:r>
    </w:p>
    <w:p w:rsidR="00374656" w:rsidRDefault="00374656" w:rsidP="001E23EF">
      <w:pPr>
        <w:pStyle w:val="ListParagraph"/>
        <w:numPr>
          <w:ilvl w:val="0"/>
          <w:numId w:val="7"/>
        </w:numPr>
        <w:contextualSpacing w:val="0"/>
      </w:pPr>
      <w:r>
        <w:t>Banken die leningen verstrekken aan SMEs. Bankiers rekenen op de financiële verslagen voor het nemen van beslissingen omtrent de leningen en voor het vaststellen van de looptijden en rentes van de leningen.</w:t>
      </w:r>
    </w:p>
    <w:p w:rsidR="00374656" w:rsidRDefault="00374656" w:rsidP="001E23EF">
      <w:pPr>
        <w:pStyle w:val="ListParagraph"/>
        <w:numPr>
          <w:ilvl w:val="0"/>
          <w:numId w:val="7"/>
        </w:numPr>
        <w:contextualSpacing w:val="0"/>
      </w:pPr>
      <w:r>
        <w:t xml:space="preserve">Verkopers die aan de hand van de financiële verslagen beslissingen moeten nemen. </w:t>
      </w:r>
    </w:p>
    <w:p w:rsidR="00374656" w:rsidRDefault="00374656" w:rsidP="001E23EF">
      <w:pPr>
        <w:pStyle w:val="ListParagraph"/>
        <w:numPr>
          <w:ilvl w:val="0"/>
          <w:numId w:val="7"/>
        </w:numPr>
        <w:contextualSpacing w:val="0"/>
      </w:pPr>
      <w:r>
        <w:t>Credit rating agencies en andere gebruikers die de financiële verslagen gebruiken om de SMEs te waarderen.</w:t>
      </w:r>
    </w:p>
    <w:p w:rsidR="00374656" w:rsidRDefault="00374656" w:rsidP="001E23EF">
      <w:pPr>
        <w:pStyle w:val="ListParagraph"/>
        <w:numPr>
          <w:ilvl w:val="0"/>
          <w:numId w:val="7"/>
        </w:numPr>
        <w:contextualSpacing w:val="0"/>
      </w:pPr>
      <w:r>
        <w:t xml:space="preserve">Klanten van SMEs die de financiële verslagen gebruiken om beslissingen te nemen betreffend de handel. </w:t>
      </w:r>
    </w:p>
    <w:p w:rsidR="00374656" w:rsidRDefault="00374656" w:rsidP="001E23EF">
      <w:pPr>
        <w:pStyle w:val="ListParagraph"/>
        <w:numPr>
          <w:ilvl w:val="0"/>
          <w:numId w:val="7"/>
        </w:numPr>
        <w:contextualSpacing w:val="0"/>
      </w:pPr>
      <w:r>
        <w:t xml:space="preserve">Aandeelhouders van SMEs die niet alleen managers zijn van hun SMEs. </w:t>
      </w:r>
    </w:p>
    <w:p w:rsidR="00374656" w:rsidRDefault="00374656" w:rsidP="001E23EF">
      <w:r>
        <w:t xml:space="preserve">De belangrijkste gebruikers van een land zijn van invloed op de mate van bereidheid tot de invoering van de IFRS for SMEs. Wie de hoofdgebruikers zijn van een land kan worden afgeleid van het type financieringssysteem. Er zijn twee soorten financieringssystemen: het insidersysteem en het outsidersysteem (Deegan en Unerman, 2006). In een outsidersysteem vormen de externe investeerders de belangrijkste financieringsbron voor de onderneming. Deze vermogensverschaffers zijn niet betrokken in het management van de onderneming en gedetailleerde verslaggevinginformatie over het management is daarom voor hen niet toegankelijk. Externe verslaggeving dient daarom te worden geleverd teneinde de investeerders te voorzien van voldoende informatie om beslissingen te kunnen nemen. De informatie dient op een eerlijke en onbevooroordeelde manier te worden verkregen die de financiële positie van de onderneming weerspiegelt. Landen met een outsidersysteem vereisen daarom bij het opstellen van jaarverslagen professionele oordeelsvorming (Deegan &amp; Unerman, 2006). Zoals in hoofdstuk twee is opgemerkt, volgt de IASB net als zijn voorganger het IASC het Anglo-Amerikaans model waarbij nadruk wordt gelegd op de kapitaalmarkten en professionele oordeelsvorming. Hieruit kan worden vermoed dat landen met een outsidersysteem minder weerstand bieden tegen invoering van de IFRS en de IFRS for SMEs. </w:t>
      </w:r>
    </w:p>
    <w:p w:rsidR="00374656" w:rsidRDefault="00374656" w:rsidP="001E23EF">
      <w:r>
        <w:t xml:space="preserve">Bij het insidersysteem daarentegen speelt de financiering van externe kapitaalverschaffers een minder belangrijke rol. Deze hebben toegang tot de gedetailleerde verslaggevinginformatie. Er is daarom geen behoefte aan externe verslaggeving. Banken en de overheid die beschouwd worden als lange termijn financieringsbronnen vallen ook onder het insidersysteem (Deegan en Unerman, 2006). Quagli (2010) wijst erop dat uit veel studies is gebleken dat banken de hoofdgebruikers zijn van financiële verslagen. Quagli refereert aan Paolini et al. (2003), die beweren dat banken gebruikers zijn die vaak gedetailleerde informatie vragen over de financiële posities van SMEs, echter voldoen de huidige financiële verslagen niet aan de behoeften van de banken. Banken zijn niet geïnteresseerd in de fair value voor de waardering van bezittingen maar de vergelijking in termen van de formele structuur van financiële vooruitzichten is van belang. Daarom zijn de vele verslaggevingmogelijkheden die zijn toegestaan onder de regelgeving niet gewenst onder banken, aldus Quagli. </w:t>
      </w:r>
    </w:p>
    <w:p w:rsidR="00374656" w:rsidRDefault="00374656" w:rsidP="001E23EF">
      <w:r>
        <w:t xml:space="preserve">Naast investeerders zijn belastingautoriteiten ook gebruikers van financiële verslagen. Zoals is beschreven, is externe verslaggeving niet nodig bij een insidersysteem. De financiële verslagen worden daarom voor andere doeleinden gebruikt zoals het berekenen van het belastingbedrag, zoals aangehaald in de vorige paragraaf, de afhankelijke benadering. De fiscale winsten worden berekend op basis van de boekhoudkundige winst, die tot stand is gekomen door veel aanpassingen. Om deze aanpassingen te beperken, worden de nationale verslaggevingstandaarden behouden, die min of meer gerelateerd zijn met de lokale belastingregels. In veel Europese gebieden waar sprake is van een insidersysteem worden de resultaten van de financiële verslagen beïnvloed en bepaald door de bepalingen van het belastingrecht. Als Europa de IFRS for SMEs toepast, dan zal de link met de lokale belastingregels worden verbroken (Mazars, 2008). De belastingautoriteiten verliezen hun controle over het belastingbeleid, dat vaak niet gewenst is. </w:t>
      </w:r>
    </w:p>
    <w:p w:rsidR="00374656" w:rsidRDefault="00374656" w:rsidP="001E23EF">
      <w:r>
        <w:t xml:space="preserve">Andere gebruikers zoals aandeelhouders en de managers spelen ook een rol. De ondernemers willen de winsten zo hoog mogelijk rapporteren indien aandeelhouders als gebruikers centraal staan. De invoering van de IFRS for SMEs kan de bevoegdheid tot het uitbetalen van dividenden en/ of het bedrag van de te betalen dividenden beïnvloeden (KPMG, 2010, p.6). Hetzelfde geldt indien managers als belangrijkste gebruikers worden beschouwd: de compensatie van de managers kan indien deze gebaseerd is op de nettowinst, veranderen door de invoering van de IFRS for SMEs (KPMG, 2010, p.7). Ondernemingen zullen niet bereid zijn om de IFRS for SMEs in te voeren indien de winsten en/of managerscompensaties negatief worden beïnvloed. </w:t>
      </w:r>
    </w:p>
    <w:p w:rsidR="00374656" w:rsidRDefault="00374656" w:rsidP="001E23EF">
      <w:pPr>
        <w:rPr>
          <w:b/>
          <w:bCs/>
          <w:u w:val="single"/>
        </w:rPr>
      </w:pPr>
      <w:r>
        <w:t xml:space="preserve">De soort hoofdgebruikers van financiële verslagen van SMEs in een land is dus van invloed op de perceptie ten aanzien van de invoering van de IFRS for SMEs. In landen met een outsidersysteem, het systeem waarin de vreemd-vermogenverschaffers centraal staan, is externe verslaggeving met professionele beoordelingen van belang. Aangezien de IFRS en de IFRS for SMEs gericht zijn op investeerders, kan worden vermoed dat de desbetreffende landen geen weerstand bieden. Daarentegen, indien sprake is van een insidersysteem, het systeem waarin de eigen-vermogenverschaffers centraal staan, zoals eigenaren, aandeelhouders, kan worden vermoed dat de landen niet bereid zijn om de IFRS for SMEs in te voeren doordat de kosten de baten overtreffen.  In een insidersysteem worden de financiële verslagen vaak gebruikt voor belastingdoeleinden. Belastingautoriteiten kunnen ook hoofdgebruikers zijn. Het type belastingsysteem is van invloed op de kijk naar de invoering van de IFRS, zoals beschreven in de vorige paragraaf. Indien andere gebruikers zoals managers, aandeelhouders etc. centraal staan dan hangt de bereidheid tot de invoering van de IFRS af van de verandering van de bijbehorende returns van de gebruikers zoals winsten, managerscompensaties etc. De voor- en nadelen vanuit het perspectief van de gebruikers dienen daarom ook meegenomen worden in de kosten- en batenanalyse. </w:t>
      </w:r>
    </w:p>
    <w:p w:rsidR="00374656" w:rsidRDefault="00374656" w:rsidP="001E23EF">
      <w:pPr>
        <w:rPr>
          <w:b/>
          <w:bCs/>
          <w:u w:val="single"/>
        </w:rPr>
      </w:pPr>
    </w:p>
    <w:p w:rsidR="00374656" w:rsidRDefault="00374656" w:rsidP="001E23EF">
      <w:pPr>
        <w:pStyle w:val="Heading3"/>
        <w:spacing w:line="336" w:lineRule="auto"/>
        <w:rPr>
          <w:u w:val="single"/>
        </w:rPr>
      </w:pPr>
      <w:bookmarkStart w:id="41" w:name="_Toc296778022"/>
      <w:r>
        <w:t>3.4 Kosten- en batenanalyse</w:t>
      </w:r>
      <w:bookmarkEnd w:id="41"/>
    </w:p>
    <w:p w:rsidR="00374656" w:rsidRDefault="00374656" w:rsidP="001E23EF">
      <w:r>
        <w:t>De invoering van de IFRS for SMEs brengt verschillende kosten en baten met zich mee. Iedere land maakt zijn eigen kosten- en batenanalyse waarop het besluit met betrekking tot de invoering van de IFRS for SMEs gebaseerd is. Hieronder worden de voor- en nadelen genoemd van de invoering van de SME- standaarden.</w:t>
      </w:r>
    </w:p>
    <w:p w:rsidR="00374656" w:rsidRDefault="00374656" w:rsidP="001E23EF">
      <w:pPr>
        <w:pStyle w:val="Heading4"/>
        <w:spacing w:line="336" w:lineRule="auto"/>
        <w:rPr>
          <w:i/>
          <w:iCs w:val="0"/>
        </w:rPr>
      </w:pPr>
      <w:bookmarkStart w:id="42" w:name="_Toc295596717"/>
      <w:bookmarkStart w:id="43" w:name="_Toc296187815"/>
      <w:bookmarkStart w:id="44" w:name="_Toc296187915"/>
      <w:bookmarkStart w:id="45" w:name="_Toc296194297"/>
      <w:bookmarkStart w:id="46" w:name="_Toc296777668"/>
      <w:bookmarkStart w:id="47" w:name="_Toc296778023"/>
      <w:r>
        <w:rPr>
          <w:i/>
        </w:rPr>
        <w:t>De voordelen</w:t>
      </w:r>
      <w:bookmarkEnd w:id="42"/>
      <w:bookmarkEnd w:id="43"/>
      <w:bookmarkEnd w:id="44"/>
      <w:bookmarkEnd w:id="45"/>
      <w:bookmarkEnd w:id="46"/>
      <w:bookmarkEnd w:id="47"/>
    </w:p>
    <w:p w:rsidR="00374656" w:rsidRDefault="00374656" w:rsidP="001E23EF">
      <w:r>
        <w:t>Het belangrijkste voordeel van de invoering van de IFRS for SMEs is de bevordering van de vergelijkbaarheid van de financiële verslagen van de gebruikers, dat tevens het doel is van de IASB. De financiële standaarden van hoge kwaliteit leiden tot presentaties van vergelijkbare informatie van hoge kwaliteit, die de efficiency van de allocatie en de prijsstelling van kapitaal verbeteren (IFRS for SMEs, BC36). Wereldwijde standaarden verbeteren ook de consistentie in de controle en bevorderen de educatie en training. De voordelen volgens de European Financial Reporting Advisory Group (hierna: EFRAG) zijn:</w:t>
      </w:r>
    </w:p>
    <w:p w:rsidR="00374656" w:rsidRDefault="00374656" w:rsidP="001E23EF">
      <w:pPr>
        <w:pStyle w:val="ListParagraph"/>
        <w:numPr>
          <w:ilvl w:val="0"/>
          <w:numId w:val="12"/>
        </w:numPr>
        <w:contextualSpacing w:val="0"/>
      </w:pPr>
      <w:r>
        <w:t>Niet-beursgenoteerde ondernemingen kunnen internationaal beter concurreren vanwege de toename in de transparantie naar internationale banken, leveranciers en afnemers.</w:t>
      </w:r>
    </w:p>
    <w:p w:rsidR="00374656" w:rsidRDefault="00374656" w:rsidP="001E23EF">
      <w:pPr>
        <w:pStyle w:val="ListParagraph"/>
        <w:numPr>
          <w:ilvl w:val="0"/>
          <w:numId w:val="12"/>
        </w:numPr>
        <w:contextualSpacing w:val="0"/>
      </w:pPr>
      <w:r>
        <w:t>Vermindering van de vermogenskosten.</w:t>
      </w:r>
    </w:p>
    <w:p w:rsidR="00374656" w:rsidRDefault="00374656" w:rsidP="001E23EF">
      <w:pPr>
        <w:pStyle w:val="ListParagraph"/>
        <w:numPr>
          <w:ilvl w:val="0"/>
          <w:numId w:val="12"/>
        </w:numPr>
        <w:contextualSpacing w:val="0"/>
      </w:pPr>
      <w:r>
        <w:t>Gemakkelijker toegang tot import- en exporttransacties.</w:t>
      </w:r>
    </w:p>
    <w:p w:rsidR="00374656" w:rsidRDefault="00374656" w:rsidP="001E23EF">
      <w:pPr>
        <w:pStyle w:val="ListParagraph"/>
        <w:numPr>
          <w:ilvl w:val="0"/>
          <w:numId w:val="12"/>
        </w:numPr>
        <w:contextualSpacing w:val="0"/>
      </w:pPr>
      <w:r>
        <w:t>Gemakkelijker onderhandelen voor de verkoop van de onderneming (of een deel van de onderneming).</w:t>
      </w:r>
    </w:p>
    <w:p w:rsidR="00374656" w:rsidRDefault="00374656" w:rsidP="001E23EF">
      <w:pPr>
        <w:pStyle w:val="ListParagraph"/>
        <w:numPr>
          <w:ilvl w:val="0"/>
          <w:numId w:val="12"/>
        </w:numPr>
        <w:contextualSpacing w:val="0"/>
      </w:pPr>
      <w:r>
        <w:t xml:space="preserve">De link tussen de financiële verslaggeving en de belastingregels verdwijnt. De relevantie voor het management neemt toe. </w:t>
      </w:r>
    </w:p>
    <w:p w:rsidR="00374656" w:rsidRDefault="00374656" w:rsidP="001E23EF">
      <w:r>
        <w:t>Andere voordelen zijn:</w:t>
      </w:r>
    </w:p>
    <w:p w:rsidR="00374656" w:rsidRDefault="00374656" w:rsidP="001E23EF">
      <w:pPr>
        <w:pStyle w:val="ListParagraph"/>
        <w:numPr>
          <w:ilvl w:val="0"/>
          <w:numId w:val="12"/>
        </w:numPr>
        <w:contextualSpacing w:val="0"/>
      </w:pPr>
      <w:r>
        <w:t xml:space="preserve">Eenvoudige verslaggevingregels. </w:t>
      </w:r>
    </w:p>
    <w:p w:rsidR="00374656" w:rsidRDefault="00374656" w:rsidP="001E23EF">
      <w:pPr>
        <w:pStyle w:val="ListParagraph"/>
        <w:numPr>
          <w:ilvl w:val="0"/>
          <w:numId w:val="12"/>
        </w:numPr>
        <w:contextualSpacing w:val="0"/>
      </w:pPr>
      <w:r>
        <w:t xml:space="preserve">Consolidatie wordt eenvoudiger aangezien de jaarcijfers van verschillende landen op dezelfde grondslagen gebaseerd zijn (Grant Thornton, website). </w:t>
      </w:r>
    </w:p>
    <w:p w:rsidR="00374656" w:rsidRDefault="00374656" w:rsidP="001E23EF">
      <w:pPr>
        <w:pStyle w:val="ListParagraph"/>
        <w:numPr>
          <w:ilvl w:val="0"/>
          <w:numId w:val="12"/>
        </w:numPr>
        <w:contextualSpacing w:val="0"/>
      </w:pPr>
      <w:r>
        <w:t>Vermindering van administratieve lasten</w:t>
      </w:r>
    </w:p>
    <w:p w:rsidR="00374656" w:rsidRDefault="00374656" w:rsidP="001E23EF">
      <w:pPr>
        <w:pStyle w:val="Heading4"/>
        <w:spacing w:line="336" w:lineRule="auto"/>
        <w:rPr>
          <w:i/>
          <w:iCs w:val="0"/>
        </w:rPr>
      </w:pPr>
      <w:bookmarkStart w:id="48" w:name="_Toc295596718"/>
      <w:bookmarkStart w:id="49" w:name="_Toc296187816"/>
      <w:bookmarkStart w:id="50" w:name="_Toc296187916"/>
      <w:bookmarkStart w:id="51" w:name="_Toc296194298"/>
      <w:bookmarkStart w:id="52" w:name="_Toc296777669"/>
      <w:bookmarkStart w:id="53" w:name="_Toc296778024"/>
      <w:r>
        <w:rPr>
          <w:i/>
        </w:rPr>
        <w:t>De nadelen</w:t>
      </w:r>
      <w:bookmarkEnd w:id="48"/>
      <w:bookmarkEnd w:id="49"/>
      <w:bookmarkEnd w:id="50"/>
      <w:bookmarkEnd w:id="51"/>
      <w:bookmarkEnd w:id="52"/>
      <w:bookmarkEnd w:id="53"/>
      <w:r>
        <w:rPr>
          <w:i/>
        </w:rPr>
        <w:t xml:space="preserve"> </w:t>
      </w:r>
    </w:p>
    <w:p w:rsidR="00374656" w:rsidRDefault="00374656" w:rsidP="001E23EF">
      <w:r>
        <w:t>Het proces van de globalisering en de harmonisatie op het gebied van de financiële verslaggeving gaan ten koste van de nationale cultuur. Een nadeel van de invoering van de IFRS for SMEs is dat de lokale GAAP verloren gaat. Andere nadelen volgens de EFRAG zijn:</w:t>
      </w:r>
    </w:p>
    <w:p w:rsidR="00374656" w:rsidRDefault="00374656" w:rsidP="001E23EF">
      <w:pPr>
        <w:pStyle w:val="ListParagraph"/>
        <w:numPr>
          <w:ilvl w:val="0"/>
          <w:numId w:val="12"/>
        </w:numPr>
        <w:contextualSpacing w:val="0"/>
      </w:pPr>
      <w:r>
        <w:t>Moeilijkheden betreffende de interpretatie van de standaarden.</w:t>
      </w:r>
    </w:p>
    <w:p w:rsidR="00374656" w:rsidRDefault="00374656" w:rsidP="001E23EF">
      <w:pPr>
        <w:pStyle w:val="ListParagraph"/>
        <w:numPr>
          <w:ilvl w:val="0"/>
          <w:numId w:val="12"/>
        </w:numPr>
        <w:contextualSpacing w:val="0"/>
      </w:pPr>
      <w:r>
        <w:t>Toename van de kosten van het opstellen van de verslagen.</w:t>
      </w:r>
    </w:p>
    <w:p w:rsidR="00374656" w:rsidRDefault="00374656" w:rsidP="001E23EF">
      <w:pPr>
        <w:pStyle w:val="ListParagraph"/>
        <w:numPr>
          <w:ilvl w:val="0"/>
          <w:numId w:val="12"/>
        </w:numPr>
        <w:contextualSpacing w:val="0"/>
      </w:pPr>
      <w:r>
        <w:t>Behoefte aan additionele specialisten die op de hoogte dienen te zijn van een set nieuwe verslaggevingregels.</w:t>
      </w:r>
    </w:p>
    <w:p w:rsidR="00374656" w:rsidRDefault="00374656" w:rsidP="001E23EF">
      <w:pPr>
        <w:pStyle w:val="ListParagraph"/>
        <w:numPr>
          <w:ilvl w:val="0"/>
          <w:numId w:val="12"/>
        </w:numPr>
        <w:contextualSpacing w:val="0"/>
      </w:pPr>
      <w:r>
        <w:t>Concurrentievoordeel voor internationale controlebedrijven, dat kan leiden tot een toename van audit fees.</w:t>
      </w:r>
    </w:p>
    <w:p w:rsidR="00374656" w:rsidRDefault="00374656" w:rsidP="001E23EF">
      <w:pPr>
        <w:pStyle w:val="ListParagraph"/>
        <w:numPr>
          <w:ilvl w:val="0"/>
          <w:numId w:val="12"/>
        </w:numPr>
        <w:contextualSpacing w:val="0"/>
      </w:pPr>
      <w:r>
        <w:t>Meer toelichtingeisen.</w:t>
      </w:r>
    </w:p>
    <w:p w:rsidR="00374656" w:rsidRDefault="00374656" w:rsidP="001E23EF">
      <w:pPr>
        <w:pStyle w:val="ListParagraph"/>
        <w:numPr>
          <w:ilvl w:val="0"/>
          <w:numId w:val="12"/>
        </w:numPr>
        <w:contextualSpacing w:val="0"/>
      </w:pPr>
      <w:r>
        <w:t xml:space="preserve">Verlies van invloed van het ontwikkelen van verslaggevingstandaarden. </w:t>
      </w:r>
    </w:p>
    <w:p w:rsidR="00374656" w:rsidRDefault="00374656" w:rsidP="001E23EF">
      <w:r>
        <w:t>Wat een land voor beslissing neemt ten aanzien van de IFRS for SMEs is mede afhankelijk van de internationale concurrentiepositie. Een specifiek land zal niet aan de eigen ondernemingen een zwaarder verslaggevingregime opleggen als andere landen dat ook niet doen. Het argument van een ‘level playing field’ wordt tevens meegenomen in de kosten- en batenanalyse.</w:t>
      </w:r>
    </w:p>
    <w:p w:rsidR="00374656" w:rsidRDefault="00374656" w:rsidP="001E23EF">
      <w:r>
        <w:t xml:space="preserve">In de praktijk verschillen de voordelen met betrekking tot de invoering van de IFRS for SMEs tussen de ondernemingen, dat afhankelijk is van de aard, hoeveelheid en de informatiebehoeften van de gebruikers van de financiële verslagen (IFRS for SMEs, BC46). De gerelateerde kosten verschillen niet significant. Daarom concludeert de IASB dat de trade-off tussen de kosten en baten beoordeeld moet worden in relatie tot de informatiebehoeften van de gebruikers. </w:t>
      </w:r>
    </w:p>
    <w:p w:rsidR="00374656" w:rsidRDefault="00374656" w:rsidP="001E23EF">
      <w:r>
        <w:t xml:space="preserve">De bereidheid tot de toepassing van de IFRS for SMEs wordt beïnvloed de kosten- en batenanalyse, die voor iedere land verschillend is. De afweging tussen de voor- en nadelen zal namelijk niet voor ieder land hetzelfde zijn. </w:t>
      </w:r>
    </w:p>
    <w:p w:rsidR="00374656" w:rsidRDefault="00374656" w:rsidP="001E23EF">
      <w:pPr>
        <w:rPr>
          <w:b/>
          <w:bCs/>
          <w:sz w:val="28"/>
          <w:szCs w:val="28"/>
        </w:rPr>
      </w:pPr>
      <w:r>
        <w:br w:type="page"/>
      </w:r>
    </w:p>
    <w:p w:rsidR="00374656" w:rsidRDefault="00374656" w:rsidP="001E23EF">
      <w:pPr>
        <w:pStyle w:val="Heading3"/>
        <w:spacing w:line="336" w:lineRule="auto"/>
      </w:pPr>
      <w:bookmarkStart w:id="54" w:name="_Toc296778025"/>
      <w:r>
        <w:t>3.5 De conclusie</w:t>
      </w:r>
      <w:bookmarkEnd w:id="54"/>
    </w:p>
    <w:p w:rsidR="00374656" w:rsidRDefault="00374656" w:rsidP="001E23EF">
      <w:r>
        <w:t>In dit hoofdstuk zijn factoren besproken die de mate van bereidheid tot de invoering van de IFRS for SMEs kunnen beïnvloeden. De eerste factor betreft de cultuur. Het model van Gray is uiteengezet en hieruit resulteert dat Angelsaksische en Noord-Europese gebieden gekenmerkt worden door professionalism, flexibility, optimism en transparency. Er kan worden vermoed dat deze landen bereid zijn de IFRS for SMEs toe te passen aangezien de geassocieerde verslaggevingwaarden in grote mate overeenkomen met de principes van de IFRS for SMEs. Daarentegen worden Germaanse en Romaanse gebieden gekenmerkt door statutory control, uniformity, conservatism en secrecy. Vermoed kan worden dat deze landen niet bereid zijn de standaarden in te voeren omdat de desbetreffende geassocieerde verslaggevingwaarden niet in lijn zijn met de principes van de IFRS for SMEs.</w:t>
      </w:r>
    </w:p>
    <w:p w:rsidR="00374656" w:rsidRDefault="00374656" w:rsidP="001E23EF">
      <w:r>
        <w:t xml:space="preserve">Het type belastingsysteem is de tweede factor. Er zijn drie belastingbenaderingen, namelijk de afhankelijke, de quasi-afhankelijke en de onafhankelijke benadering. In landen waarin de afhankelijke benadering wordt gevolgd, de benadering waarbij de fiscale winsten berekend worden op basis van de bedrijfseconomische winsten, zal de invoering van de IFRS for SMEs een materieel effect hebben. Er kan worden vermoed dat de invoering van de IFRS for SMEs in deze landen daarom niet gewenst is maar de voorkeur gaat naar een strikter verslaggevingbeleid. </w:t>
      </w:r>
    </w:p>
    <w:p w:rsidR="00374656" w:rsidRDefault="00374656" w:rsidP="001E23EF">
      <w:r>
        <w:t xml:space="preserve">De derde factor gaat naar de gebruikers van de financiële verslagen. De gebruikers van de financiële verslagen zijn vaak de kapitaalverschaffers. Wie de kapitaalverschaffers zijn, hangt af van het financieringssysteem in een land. In landen waar sprake is van een outsider-systeem staan de externe vermogenverschaffers centraal. Er is behoefte aan externe verslaggeving gebaseerd op professionele beoordelingen doordat de investeerders niet aan gedetailleerde informatie over het management kunnen komen. Hieruit kan worden vermoed dat deze landen minder weerstand bieden tegen de invoering van de IFRS for SMEs. Daarentegen hebben de kapitaalverschaffers bij een insider-systeem geen behoefte aan externe verslaggeving. Er kan worden verondersteld deze landen niet bereid zijn de IFRS for SMEs in te voeren. </w:t>
      </w:r>
    </w:p>
    <w:p w:rsidR="00374656" w:rsidRDefault="00374656" w:rsidP="001E23EF">
      <w:r>
        <w:t xml:space="preserve">De laatste factor betreft de kosten- en batenanalyse. De invoering van de IFRS for SMEs zal voor verschillende landen verschillen kosten en baten opleveren. Op basis van een kosten- en batenanalyse neemt een land een beslissing met betrekking tot de invoering van de IFRS for SMEs. </w:t>
      </w:r>
    </w:p>
    <w:p w:rsidR="00374656" w:rsidRDefault="00374656" w:rsidP="001E23EF">
      <w:r>
        <w:t xml:space="preserve">De factoren zijn ieder afzonderlijk behandeld en hieruit is voor iedere factor een conclusie getrokken. In de praktijk worden echter de verschillende factoren naast elkaar gezet en afgewogen. De ene factor zal voor het ene land belangrijker zijn dan voor het andere land. De perceptie van een land ten aanzien van de invoering van de IFRS for SMEs wordt uiteindelijk gevormd door de combinatie van de factoren. </w:t>
      </w:r>
    </w:p>
    <w:p w:rsidR="00374656" w:rsidRDefault="00374656" w:rsidP="001E23EF">
      <w:r>
        <w:br w:type="page"/>
      </w:r>
    </w:p>
    <w:p w:rsidR="00374656" w:rsidRDefault="00374656" w:rsidP="001E23EF">
      <w:pPr>
        <w:pStyle w:val="Heading1"/>
        <w:spacing w:line="336" w:lineRule="auto"/>
        <w:jc w:val="center"/>
      </w:pPr>
      <w:bookmarkStart w:id="55" w:name="_Toc296778026"/>
      <w:r>
        <w:t>Het empirisch kader</w:t>
      </w:r>
      <w:bookmarkEnd w:id="55"/>
    </w:p>
    <w:p w:rsidR="00374656" w:rsidRDefault="00374656" w:rsidP="001E23EF">
      <w:pPr>
        <w:pStyle w:val="Heading2"/>
      </w:pPr>
      <w:bookmarkStart w:id="56" w:name="_Toc296778027"/>
      <w:r>
        <w:t>Hoofdstuk 4: De verschillende zienswijzen in Europa</w:t>
      </w:r>
      <w:bookmarkEnd w:id="56"/>
    </w:p>
    <w:p w:rsidR="00374656" w:rsidRDefault="00374656" w:rsidP="001E23EF">
      <w:r>
        <w:t>In het voorgaand hoofdstuk is vanuit theoretisch perspectief duidelijk geworden hoe de besproken factoren de mate van bereidheid tot de invoering van de IFRS for SMEs beïnvloeden. In de praktijk zal echter niet iedere factor de in het theoretisch kader beschreven invloed hebben voor ieder land. In dit hoofdstuk wordt getracht een totaalplaatje te vormen van de zienswijze van volgende landen: Nederland, Duitsland, Frankrijk, Italië, Verenigd Koninkrijk en Zweden. De resultaten van drie empirische onderzoeken staan centraal die eventueel ondersteund worden door resultaten van andere onderzoeken. De resultaten zullen in relatie worden gebracht met de vier factoren cultuur, belastingregulering, gebruikers van de financiële verslagen en de kosten- en batenanalyse voor elk van de genoemde landen.</w:t>
      </w:r>
      <w:r>
        <w:rPr>
          <w:rStyle w:val="FootnoteReference"/>
        </w:rPr>
        <w:footnoteReference w:id="4"/>
      </w:r>
    </w:p>
    <w:p w:rsidR="00374656" w:rsidRDefault="00374656" w:rsidP="001E23EF">
      <w:pPr>
        <w:pStyle w:val="Heading3"/>
      </w:pPr>
      <w:bookmarkStart w:id="57" w:name="_Toc296778028"/>
      <w:r>
        <w:t>4.1 De aard van de onderzoeken</w:t>
      </w:r>
      <w:bookmarkEnd w:id="57"/>
    </w:p>
    <w:p w:rsidR="00374656" w:rsidRDefault="00374656" w:rsidP="001E23EF">
      <w:r>
        <w:t>Een onderzoek naar de kijk van Europa op de invoering van de IFRs for SMEs is verricht door de Europese Commissie. In 2010 is een consultatie gehouden door de Europese Commissie met betrekking tot de invoering van de IFRS for SMEs. Gedurende de consultatieperiode zijn 210 reacties ontvangen van 26 Europese lidstaten</w:t>
      </w:r>
      <w:r>
        <w:rPr>
          <w:rStyle w:val="FootnoteReference"/>
        </w:rPr>
        <w:footnoteReference w:id="5"/>
      </w:r>
      <w:r>
        <w:t xml:space="preserve"> en 4 niet-Europese landen</w:t>
      </w:r>
      <w:r>
        <w:rPr>
          <w:rStyle w:val="FootnoteReference"/>
        </w:rPr>
        <w:footnoteReference w:id="6"/>
      </w:r>
      <w:r>
        <w:t xml:space="preserve">. Het doel van consultatie is om informatie te verkrijgen van het beeld dat de Europese aandeelhouders hebben van de IFRS for SMEs. De meeste reacties van het enquêteonderzoek kwamen van de opstellers van financiële verslagen, gevolgd door de accountants en controllers, publieke autoriteiten, nationale regelgevers en de gebruikers van de financiële verslagen. </w:t>
      </w:r>
    </w:p>
    <w:p w:rsidR="00374656" w:rsidRDefault="00374656" w:rsidP="001E23EF">
      <w:r>
        <w:t>Een ander onderzoek is verricht door de organisatie Mazars</w:t>
      </w:r>
      <w:r>
        <w:rPr>
          <w:rStyle w:val="FootnoteReference"/>
        </w:rPr>
        <w:footnoteReference w:id="7"/>
      </w:r>
      <w:r>
        <w:t xml:space="preserve"> in samenwerking met de EFRAG (2008), waarin de percepties en verwachtingen van de standaard zijn onderzocht van zes Europese landen, naar aanleiding van de publicatie van de Exposure Draft in 2007. 593 SMEs op het gebied van de industrie, service en groothandel zijn onderzocht in de volgende zes landen: Nederland (245), Verenigde Koninkrijk (290), Duitsland (290), Frankrijk (293), Spanje (230) en Italië (245). De respondenten die telefonisch geïnterviewd werden, waren voornamelijk managers, CFO’s, administratieve managers, algemene managers en de CEO’s. </w:t>
      </w:r>
    </w:p>
    <w:p w:rsidR="00374656" w:rsidRDefault="00374656" w:rsidP="001E23EF">
      <w:r>
        <w:t>Het laatste onderzoek betreft de fieldtest van de IASB (2007). Het doel van dit onderzoek is om te kunnen beoordelen of de doelstellingen die voorgesteld zijn in de Exposure Draft bereikt kunnen worden. Indien dit niet het geval is, dan worden oplossingen gezocht die de doelstellingen alsnog waarmaken. De IASB heeft in totaal 116 field tests uitgevoerd in 20 landen</w:t>
      </w:r>
      <w:r>
        <w:rPr>
          <w:rStyle w:val="FootnoteReference"/>
        </w:rPr>
        <w:footnoteReference w:id="8"/>
      </w:r>
      <w:r>
        <w:t xml:space="preserve"> in samenwerking met de nationale verslaggevingregelgevers zoals de ASB (Accounting Standards Board) van het Verenigd Koninkrijk, de CNC (Conseil National de la Comptabilité) van Frankrijk en de GASB (German Accounting Standards Board) van Duitsland. De onderzoeken vonden plaats in de vorm van een enquêteonderzoek. Het aantal ondervraagden van de fieldtesten in het Verenigd Koninkrijk en Duitsland  is respectievelijk 25 en 15 SMEs. De steekproef van de fieldtest in Frankrijk is echter onbekend. Naast de field tests hebben de GASB en de CNC ook een eigen enquêteonderzoek gehouden met als steekproeven van respectievelijk 410 en 678 SMEs. De respondenten van deze onderzoeken en de fieldtesten waren  met name managers, CFO’s en de Chief accountants.</w:t>
      </w:r>
    </w:p>
    <w:p w:rsidR="00374656" w:rsidRDefault="00374656" w:rsidP="001E23EF">
      <w:pPr>
        <w:pStyle w:val="Heading3"/>
      </w:pPr>
      <w:bookmarkStart w:id="58" w:name="_Toc296778029"/>
      <w:r>
        <w:t>4.2 Nederland</w:t>
      </w:r>
      <w:bookmarkEnd w:id="58"/>
    </w:p>
    <w:p w:rsidR="00374656" w:rsidRDefault="00374656" w:rsidP="001E23EF">
      <w:r>
        <w:t>In Nederland is de IFRS for SMEs geen onderdeel van de Nederlandse wetgeving. Verwacht is dat de IFRS for SMEs zal worden toegestaan zolang de toegepaste verslaggevingprincipes passen binnen de Nederlandse wettelijke wetgeving (PWC, 2010). In de jaarrekeningen worden dan verwijzingen gemaakt naar de Nederlandse wetgeving en de IFRS for SMEs (PWC, 2010). De Nederlandse SMEs zijn echter wel positief ten aanzien van de convergentie tussen de Nederlandse verslaggevingrichtlijnen en de internationale standaarden (Mazars, 2008). In Europa is Nederland één van de landen met het beste beeld over de harmonisatie, 66% van de SMEs denken dat het convergentieproces aan de gang is en vinden dat het proces door moet gaan (Mazars, 2008).</w:t>
      </w:r>
    </w:p>
    <w:p w:rsidR="00374656" w:rsidRDefault="00374656" w:rsidP="001E23EF">
      <w:pPr>
        <w:rPr>
          <w:i/>
          <w:iCs/>
        </w:rPr>
      </w:pPr>
      <w:r>
        <w:rPr>
          <w:i/>
          <w:iCs/>
        </w:rPr>
        <w:t xml:space="preserve">De cultuur </w:t>
      </w:r>
    </w:p>
    <w:p w:rsidR="00374656" w:rsidRDefault="00374656" w:rsidP="001E23EF">
      <w:r>
        <w:t xml:space="preserve">In het model van Gray behoort Nederland tot de Noord-Europese landen. Nederland wordt op basis van dit model in verband gebracht met de verslaggevingwaarden professionalisme, flexibiliteit, optimisme en transparantie. Verondersteld kan worden dat Nederland minder weerstand biedt tegen de invoering van de IFRS for SMEs. Deze veronderstelling komt overeen met de reacties op de consultatie van de Europese Commissie. De meerderheid van de Nederlandse respondenten vindt namelijk dat de IFRS for SMEs geschikt is voor Europa voor algemeen gebruik en dat de standaard kan worden toegepast binnen het Europese wettelijke verslaggevingraamwerk. Bovendien is er geen behoefte aan een rules-based verslaggeving. Nederland overweegt daarom ook tot de toepassing of de verplichting van de standaard (EFRAG, 2009). </w:t>
      </w:r>
    </w:p>
    <w:p w:rsidR="00374656" w:rsidRDefault="00374656" w:rsidP="001E23EF">
      <w:r>
        <w:t>De Kimpe en Manschot (2009) vinden echter dat de standaard op een vrijwillige basis toegepast dient te worden, met als verplichting het opnemen van aanvullende Nederlandse toelichtingen. Geconstateerd kan worden dat de IFRS for SMEs grotendeels overeenkomt met de grondslagen die onder de Nederlandse GAAP gelden (Kamp, 2010). Maar er zijn strijdigheden tussen de Nederlandse GAAP en de IFRS for SMEs, die onderverdeeld kunnen worden naar de strijdigheden met de wettelijke bepalingen en met de richtlijnen van de Raad voor de Jaarverslaggeving (De Kimpe en Manschot, 2009, p. 1). Indien de IFRS for SMEs als een maatschappelijk aanvaardbare norm kan worden beschouwd en de richtlijnen van de RJ kan vervangen, dan vormen de strijdigheden met de richtlijnen van de RJ geen belemmeringen voor de toepassing van de standaard. De vraag of de strijdigheden met de wettelijke bepalingen de toepassing van de standaard belemmeren, is afhankelijk van de vraag of er oplossingen zijn binnen de grenzen van Titel 9 en de standaard. Indien een rechtspersoon ervoor gekozen heeft de IFRS for SMEs onder Titel 9 toe te passen, dan dient, zoals in de eerste alinea is beschreven, deze te voldoen aan de vereisten van de toelichtingen van zowel de titel 9 en de IFRS for SMEs (De Kimpe en Manschot, 2009, p. 4).</w:t>
      </w:r>
    </w:p>
    <w:p w:rsidR="00374656" w:rsidRDefault="00374656" w:rsidP="001E23EF">
      <w:pPr>
        <w:rPr>
          <w:i/>
          <w:iCs/>
        </w:rPr>
      </w:pPr>
      <w:r>
        <w:rPr>
          <w:i/>
          <w:iCs/>
        </w:rPr>
        <w:t>De belastingregulering</w:t>
      </w:r>
    </w:p>
    <w:p w:rsidR="00374656" w:rsidRDefault="00374656" w:rsidP="001E23EF">
      <w:r>
        <w:t xml:space="preserve">In Nederland geldt de onafhankelijke belastingbenadering (PWC, 2010). Momenteel kan de belastingdienst op een nieuwe manier toezicht uitoefenen op bedrijven, het zogenaamde horizontaal toezicht. Op basis van begrip, wederzijds vertrouwen en transparantie geven de belastingplichtigen openheid van zaken (website Ernst &amp; Young). In beginsel zal de invoering van de IFRS for SMEs geen invloed hebben op de fiscale winstbepaling. Maar sinds 2007 hebben de Nederlandse kleine ondernemingen de keuzemogelijkheid om hun jaarrekeningen te baseren op fiscale waarderingsgrondslagen (Kamp, 2008). De administratieve lastendruk wordt hierdoor verminderd. Ook de respondenten van het onderzoek van Mazars zien het voordeel in de link tussen de belastingen en de verslaggeving. Indien de IFRS for SMEs wordt toegepast, dan zal de link worden verbroken. </w:t>
      </w:r>
    </w:p>
    <w:p w:rsidR="00374656" w:rsidRDefault="00374656" w:rsidP="001E23EF">
      <w:pPr>
        <w:rPr>
          <w:i/>
          <w:iCs/>
        </w:rPr>
      </w:pPr>
      <w:r>
        <w:rPr>
          <w:i/>
          <w:iCs/>
        </w:rPr>
        <w:t xml:space="preserve">De gebruikers van de financiële verslagen </w:t>
      </w:r>
    </w:p>
    <w:p w:rsidR="00374656" w:rsidRDefault="00374656" w:rsidP="001E23EF">
      <w:r>
        <w:t xml:space="preserve">De belangrijkste gebruikers van de financiële verslagen van de SMEs in Nederland zijn de banken, belastingautoriteiten en aandeelhouders (Mazars, 2008). Dit komt overeen met het Europese gemiddelde betreffende de primaire gebruikers. De toenemende internationale vergelijkbaarheid als gevolg van de invoering van de standaard zal volgens de Nederlandse respondenten van het consultatieonderzoek van de Europese Commissie voordelen opleveren voor de gebruikers. Vanuit het perspectief van de gebruikers is de toepassing van de IFRS for SMEs dus gewenst. </w:t>
      </w:r>
    </w:p>
    <w:p w:rsidR="00374656" w:rsidRDefault="00374656" w:rsidP="001E23EF">
      <w:pPr>
        <w:rPr>
          <w:i/>
          <w:iCs/>
        </w:rPr>
      </w:pPr>
      <w:r>
        <w:rPr>
          <w:i/>
          <w:iCs/>
        </w:rPr>
        <w:t xml:space="preserve">De kosten- en batenanalyse </w:t>
      </w:r>
    </w:p>
    <w:p w:rsidR="00374656" w:rsidRDefault="00374656" w:rsidP="001E23EF">
      <w:r>
        <w:t xml:space="preserve">In Nederland worden de in het theoretisch kader genoemde voordelen min of meer als even belangrijk gevonden (Mazars 2008). Een opmerkelijk punt is dat het voordeel ‘vermindering van financieringskosten’ een laag percentage scoort in vergelijking met andere landen, dat trekt het Europese gemiddelde omlaag. Een ander voordeel dat door De Kimpe en Manschot (2009) wordt benadrukt, is de bevordering van de concurrentiepositie van de Nederlandse ondernemingen. De interne Europese markt wordt aantrekkelijker en meer concurrerend, aldus De Kimpe en Manschot. De moeilijkheden in de interpretatie van de standaarden, de toename van de voorbereidingskosten en de behoefte aan additioneel gekwalificeerd personeel worden door de meeste Nederlandse respondenten als nadelen gezien (Mazars, 2008). </w:t>
      </w:r>
    </w:p>
    <w:p w:rsidR="00374656" w:rsidRDefault="00374656" w:rsidP="001E23EF">
      <w:r>
        <w:rPr>
          <w:u w:val="single"/>
        </w:rPr>
        <w:t>Tussenconclusie:</w:t>
      </w:r>
      <w:r>
        <w:t xml:space="preserve"> In Nederland is de perceptie ten aanzien van de standaard positief. Nederland overweegt de standaard toe te passen of te verplichtingen (EFRAG website). Deze perceptie komt overeen met het cultuurmodel van Gray. De bepalingen en regels van de IFRS for SMEs komen namelijk sterk overeen met bepalingen en regels volgens de Nederlandse GAAP. Bovendien zijn de gebruikers positief over de standaard, blijkens de reacties op de consultatie van de Europese Commissie. De kosten- en batenanalyse van de Nederlandse ondernemingen wijkt niet veel af van het Europese gemiddelde. Voor Nederland zijn geen specifieke kosten en baten die doorslaggevend zijn voor de invoering. </w:t>
      </w:r>
    </w:p>
    <w:p w:rsidR="00374656" w:rsidRDefault="00374656" w:rsidP="001E23EF">
      <w:pPr>
        <w:pStyle w:val="Heading3"/>
      </w:pPr>
      <w:bookmarkStart w:id="59" w:name="_Toc296778030"/>
      <w:r>
        <w:t>4.3 Duitsland</w:t>
      </w:r>
      <w:bookmarkEnd w:id="59"/>
    </w:p>
    <w:p w:rsidR="00374656" w:rsidRDefault="00374656" w:rsidP="001E23EF">
      <w:r>
        <w:t>In Duitsland is de IFRS for SMEs niet toegestaan en een toepassing of verplichting ervan is ook niet gepland (EFRAG website). Zoals andere Europese lidstaten dienen de Duitse SMEs de jaarrekeningen op te stellen volgens de bepalingen en regels volgens de Duitse GAAP of de full-IFRS. De German Accounting Standards Committee (GASC) heeft samen met de professoren Eierle en Haller (2007) een onderzoek gedaan naar de toepassing van de IFRS for SMEs in Duitsland. Een steekproef van 4000 SMEs werden willekeurig geselecteerd waarvan slechts 410 SMEs de enquête hebben ingevuld. Uit deze onderzoek blijkt dat de Duitse SMEs eerder de Duitse GAAP prefereren dan de full-IFRS.</w:t>
      </w:r>
    </w:p>
    <w:p w:rsidR="00374656" w:rsidRDefault="00374656" w:rsidP="001E23EF">
      <w:pPr>
        <w:rPr>
          <w:i/>
          <w:iCs/>
        </w:rPr>
      </w:pPr>
      <w:r>
        <w:rPr>
          <w:i/>
          <w:iCs/>
        </w:rPr>
        <w:t xml:space="preserve">De cultuur </w:t>
      </w:r>
    </w:p>
    <w:p w:rsidR="00374656" w:rsidRDefault="00374656" w:rsidP="001E23EF">
      <w:r>
        <w:t xml:space="preserve">Duitsland wordt traditioneel geclassificeerd als een roman-law land met zwakke investeerderbescherming en veel private informatie. roman-law landen zoals Duitsland worden gekenmerkt door het insidersysteem, interne financiering, met name financiering door banken en conservatieve verslaggevingsystemen (Guenther et al., 2009). De Duitse Corporate Governance structuur wordt gevormd door zijn nationale verslaggevingsysteem, de German Commercial Code (HGB). Dit is een fiscaal verslaggevingsysteem dat een conservatieve benadering volgt met betrekking tot de verwerking en waardering van bezittingen en verplichtingen. Deze kenmerken van Duitsland worden tevens genoemd in het model van Gray. In dit model behoort Duitsland tot de Germaanse landen die in verband worden gebracht met de verslaggevingwaarden het conservatisme, statutory control, geheimhouding en uniformiteit. Daarentegen wordt de IFRS geassocieerd met de common-law traditie en belastingonafhankelijke systemen. Vermoed kan worden dat Duitsland niet bereid is om de IFRS for SMEs in te voeren. </w:t>
      </w:r>
    </w:p>
    <w:p w:rsidR="00374656" w:rsidRDefault="00374656" w:rsidP="001E23EF">
      <w:r>
        <w:t xml:space="preserve">Dat Duitsland voorkeur heeft voor een uniforme standaard, wordt ondersteund door de resultaten van de Europese Commissie. In het licht van de publicatie van de IFRS for SMEs is namelijk behoefte aan een rules-based standaard volgens de meerderheid van de Duitse respondenten. Zoals is beschreven, komen negatieve commentaren omtrent de reële waarde vaak van de Germaanse respondenten, waaronder Duitsland. Er is met name weerstand tegen de uitbreiding van de vereiste informatie, die de toepassing van de standaard bemoeilijkt voor kleine ondernemingen. Dit wordt ook ervaren door de respondenten van het onderzoek van Eierle en Haller (2007). Respondenten beoordelen informatie over transacties met gerelateerde personen zoals managers en eigenaren, en informatie omtrent business combinations zeer gevoelig. Bovendien blijkt uit de Duitse reacties op de consultatie van de Europese Commissie dat de IFRS for SMEs niet geschikt is voor algemeen gebruik in Europa. De standaard kan volgens hen niet worden toegepast binnen het Europese verslaggevingraamwerk. Het beeld van Duitsland omtrent de toepassing van de IFRS is zeer negatief, blijkens de reacties op de consultatie. Desondanks zijn de Duitse SMEs wel voorstanders van toenemende convergentie van hun nationale verslaggevingprincipes met de internationale standaarden (Mazars, 2008). </w:t>
      </w:r>
    </w:p>
    <w:p w:rsidR="00374656" w:rsidRDefault="00374656" w:rsidP="001E23EF">
      <w:pPr>
        <w:rPr>
          <w:i/>
          <w:iCs/>
        </w:rPr>
      </w:pPr>
      <w:r>
        <w:rPr>
          <w:i/>
          <w:iCs/>
        </w:rPr>
        <w:t xml:space="preserve">De belastingregulering </w:t>
      </w:r>
    </w:p>
    <w:p w:rsidR="00374656" w:rsidRDefault="00374656" w:rsidP="001E23EF">
      <w:r>
        <w:t xml:space="preserve">Zoals is beschreven, valt de fiscale jaarrekening en de bedrijfseconomische jaarrekening samen in Duitsland. In Duitsland probeert 79% van de Duitse SMEs de bedrijfseconomische winstpaling zoveel mogelijk te laten aansluiten op de fiscale winstbepaling, blijkens de enquête van de GASB. De invoering van de IFRS for SMEs zorgt voor een dubbele boekhouding voor de Duitse SMEs. Dit wordt als een grote belemmering beschouwd (field test Germany, 2008; Göransson, 2008). Daarentegen wordt de verbreking van de link tussen de belastingen en verslaggeving als een voordeel gezien door de meerderheid van de Duitse respondenten van het onderzoek van Mazars (2008). Deze vinden dat de jaarrekening meer nut oplevert voor het management. </w:t>
      </w:r>
    </w:p>
    <w:p w:rsidR="00374656" w:rsidRDefault="00374656" w:rsidP="001E23EF">
      <w:pPr>
        <w:rPr>
          <w:i/>
          <w:iCs/>
        </w:rPr>
      </w:pPr>
      <w:r>
        <w:rPr>
          <w:i/>
          <w:iCs/>
        </w:rPr>
        <w:t xml:space="preserve">De gebruikers van de financiële verslagen </w:t>
      </w:r>
    </w:p>
    <w:p w:rsidR="00374656" w:rsidRDefault="00374656" w:rsidP="001E23EF">
      <w:r>
        <w:t xml:space="preserve">De belangrijkste gebruikers van de Duitse SMEs bestaan uit eigenaren, banken, managers en belastingautoriteiten (Eierle en Haller, 2007; Mazars 2008). Hoewel consumenten, verkopers, werknemers en potentiële investeerders minder relevant zijn voor de Duitse SMEs, behoren deze gebruikers tot de hoofdgroep van de externe gebruikers in de ogen van de IASB. De informatiebehoeften van de managers en belastingautoriteiten worden echter niet meegenomen in de kosten- en batenanalyse van de IASB, omdat beide partijen hun beslissingen niet baseren op de General Purpose Financial statements. Het onderzoek van Eierle en Haller (2007) toont echter aan dat de desbetreffende informatie centraal staat in de financiële verslagen van de Duitse SMEs. Dat de banken de belangrijkste gebruikers zijn, is niet vreemd aangezien Duitse SMEs sterk rekenen op interne- en bankfinanciering. Banken hebben een negatieve invloed op de invoering van de full-IFRS (Guenther et al., 2009). Vermoed kan worden dat dit effect ook geldt voor de invoering van de IFRS voor SMEs. </w:t>
      </w:r>
    </w:p>
    <w:p w:rsidR="00374656" w:rsidRDefault="00374656" w:rsidP="001E23EF">
      <w:pPr>
        <w:rPr>
          <w:i/>
          <w:iCs/>
        </w:rPr>
      </w:pPr>
      <w:r>
        <w:rPr>
          <w:i/>
          <w:iCs/>
        </w:rPr>
        <w:t xml:space="preserve">De kosten- en batenanalyse </w:t>
      </w:r>
    </w:p>
    <w:p w:rsidR="00374656" w:rsidRDefault="00374656" w:rsidP="001E23EF">
      <w:r>
        <w:t xml:space="preserve">Volgens de resultaten van de field test (2008) zijn er verschillende redenen voor het feit dat de Duitse SMEs problemen hebben met de toepassing van de standaard. De redenen zijn: inconsistentie met de Duitse verslaggevingachtergrond, weinig of geen ervaring met de IFRS en tijdsgebrek om alle verslaggevingissues in details te bekijken. De toepassing wordt ook bemoeilijkt door de verandering van de verslaggevingsystemen. Het hebben van een IT-systeem of interne documentenstructuren vormt een probleem voor Duitsland (Eierle en Haller, 2007). De invoering van de standaard brengt dus verscheidene kosten met zich mee. Bovendien wordt de Duitse GAAP als een geschikte standaard gevonden (Göransson, 2008). </w:t>
      </w:r>
    </w:p>
    <w:p w:rsidR="00374656" w:rsidRDefault="00374656" w:rsidP="001E23EF">
      <w:r>
        <w:rPr>
          <w:u w:val="single"/>
        </w:rPr>
        <w:t>Tussenconclusie:</w:t>
      </w:r>
      <w:r>
        <w:t xml:space="preserve"> De perceptie van Duitsland is negatief en daarom wordt de toepassing van de IFRS for SMEs niet verwacht. Bovendien is de invoering niet gewenst vanuit het perspectief van de banken, de centrale gebruikers van de financiële verslagen van de Duitse SMEs. </w:t>
      </w:r>
    </w:p>
    <w:p w:rsidR="00374656" w:rsidRDefault="00374656" w:rsidP="001E23EF">
      <w:pPr>
        <w:pStyle w:val="Heading3"/>
      </w:pPr>
      <w:bookmarkStart w:id="60" w:name="_Toc296778031"/>
      <w:r>
        <w:t>4.4 Frankrijk en Italië</w:t>
      </w:r>
      <w:bookmarkEnd w:id="60"/>
    </w:p>
    <w:p w:rsidR="00374656" w:rsidRDefault="00374656" w:rsidP="001E23EF">
      <w:r>
        <w:t>De IFRS for SMEs is niet toegestaan in zowel Frankrijk als in Italië en in het komend jaar zal deze ook niet worden ingevoerd (EFRAG website). In de huidige situatie dienen alle Franse en Italiaanse SMEs de jaarrekeningen op te stellen volgens de bepalingen en regels van de Franse GAAP respectievelijk de Italiaanse GAAP of van de full-IFRS.</w:t>
      </w:r>
    </w:p>
    <w:p w:rsidR="00374656" w:rsidRDefault="00374656" w:rsidP="001E23EF">
      <w:pPr>
        <w:rPr>
          <w:i/>
          <w:iCs/>
        </w:rPr>
      </w:pPr>
      <w:r>
        <w:rPr>
          <w:i/>
          <w:iCs/>
        </w:rPr>
        <w:t xml:space="preserve">De cultuur </w:t>
      </w:r>
    </w:p>
    <w:p w:rsidR="00374656" w:rsidRDefault="00374656" w:rsidP="001E23EF">
      <w:r>
        <w:t xml:space="preserve">Frankrijk en Italië vallen onder de groep Romaanse landen in het model van Gray. Volgens het model prefereren Frankrijk en Italië een uniforme verslaggevingstandaard waarin de wettelijke regels nageleefd dienen te worden. Vanwege het feit dat de IFRS for SMEs een pinciples-based standaard is, kan worden vermoed dat Frankrijk en Italië de IFRS for SMEs niet willen invoeren. Dit vermoeden wordt ondersteund door de reacties op de consultatie van de Europese Commissie (2010). Zowel de Franse respondenten als de Italiaanse respondenten vinden dat de standaard niet geschikt is voor algemeen gebruik voor Europa. De standaard kan volgens hen ook niet worden toegepast binnen het Europese wettelijke verslaggevingraamwerk. De Franse respondenten en de Italiaanse respondenten van het onderzoek van Mazars (2008) zijn echter wel voorstanders van een gemeenschappelijke set verslaggevingstandaarden in heel Europa. </w:t>
      </w:r>
    </w:p>
    <w:p w:rsidR="00374656" w:rsidRDefault="00374656" w:rsidP="001E23EF">
      <w:pPr>
        <w:rPr>
          <w:i/>
          <w:iCs/>
        </w:rPr>
      </w:pPr>
      <w:r>
        <w:rPr>
          <w:i/>
          <w:iCs/>
        </w:rPr>
        <w:t xml:space="preserve">De belastingregulering </w:t>
      </w:r>
    </w:p>
    <w:p w:rsidR="00374656" w:rsidRDefault="00374656" w:rsidP="001E23EF">
      <w:r>
        <w:t xml:space="preserve">In zowel Frankrijk als Italië geldt de quasi-afhankelijke benadering ten aanzien van de belastingen. Als gevolg van de sterke invloed van de belastingregulering op de verslaggeving in Italië, kunnen de jaarrekeningen geen ‘true and fair view’ weergeven van de financiële positie van de SMEs (Baldarelli et al., 2007). In Frankrijk probeert 87% van de Franse SMEs de bedrijfseconomische winstpaling zoveel mogelijk te laten aansluiten op de fiscale winstbepaling, blijkens de enquête van de CNC (2008).  Uit het onderzoek van Mazars (2008) blijkt echter dat de helft van de Franse respondenten en één derde van de Italiaanse respondenten vinden dat de link een negatieve invloed heeft op het nut van de jaarrekeningen voor de managers. De verbreking van de link zal leiden tot een verslaggeving die de activiteiten van de onderneming beter weerspiegelt. </w:t>
      </w:r>
    </w:p>
    <w:p w:rsidR="00374656" w:rsidRDefault="00374656" w:rsidP="001E23EF">
      <w:pPr>
        <w:rPr>
          <w:i/>
          <w:iCs/>
        </w:rPr>
      </w:pPr>
      <w:r>
        <w:rPr>
          <w:i/>
          <w:iCs/>
        </w:rPr>
        <w:t xml:space="preserve">De gebruikers van de financiële verslagen </w:t>
      </w:r>
    </w:p>
    <w:p w:rsidR="00374656" w:rsidRDefault="00374656" w:rsidP="001E23EF">
      <w:r>
        <w:t>De belangrijkste gebruikers van de financiële verslagen van de Italiaanse SMEs komen overeen met het Europese gemiddelde: de banken, de belastingautoriteiten, de aandeelhouders en het management (Mazars, 2008). In Frankrijk zijn de belastingautoriteiten echter de belangrijkste gebruikers. Uit de reacties van de consultatie blijkt dat de standaard niet gewenst is onder de gebruikers. De meerderheid van de Franse en Italiaanse respondenten vindt dat de toenemende internationale vergelijkbaarheid als gevolg van de invoering van de standaard geen voordelen oplevert voor de gebruikers (European Commission, 2010). Ook uit het enquêteonderzoek van CNC blijkt dat er geen behoefte en steun is voor de standaard. Een reden is dat de SMEs beperkte kennis hebben van internationale financiële rapportage.</w:t>
      </w:r>
    </w:p>
    <w:p w:rsidR="00374656" w:rsidRDefault="00374656" w:rsidP="001E23EF">
      <w:pPr>
        <w:rPr>
          <w:i/>
          <w:iCs/>
        </w:rPr>
      </w:pPr>
      <w:r>
        <w:rPr>
          <w:i/>
          <w:iCs/>
        </w:rPr>
        <w:t xml:space="preserve">De kosten- en batenanalyse </w:t>
      </w:r>
    </w:p>
    <w:p w:rsidR="00374656" w:rsidRDefault="00374656" w:rsidP="001E23EF">
      <w:r>
        <w:t>Als voordelen worden met name gezien de bevordering van de vergelijkbaarheid voor externe partijen, de vereenvoudiging van de interne communicatie en de verbreking van de link tussen belastingregels en verslaggeving (Mazars, 2008). Ook uit de field test (2008) zijn positieve reacties ontvangen. Deze hebben betrekking op de volgende boekhoudregelingen: optie met betrekking tot de onderzoek- en ontwikkelingskosten, impairment berekend door de marktwaarde indien deze lager is dan de boekwaarde, leasing, actualisering van lange termijn voorzieningen en de lange termijn constructiecontracten. De invoering van de standaard zorgt uiteraard ook voor kosten voor de Franse en Italiaanse SMEs zoals trainingskosten en voorbereidingskosten (field test, 2008; Mazars 2008). Bovendien zal de toepassing van de standaard voor de vennootschappelijke jaarrekening voor lasten zorgen voor ondernemingen die veel aanpassingen dienen te maken voor belastingdoeleinden.</w:t>
      </w:r>
    </w:p>
    <w:p w:rsidR="00374656" w:rsidRDefault="00374656" w:rsidP="001E23EF">
      <w:r>
        <w:rPr>
          <w:u w:val="single"/>
        </w:rPr>
        <w:t>Tussenconclusie:</w:t>
      </w:r>
      <w:r>
        <w:t xml:space="preserve"> Zowel vanuit het perspectief van de opstellers als van de gebruikers van de financiële verslagen zijn de percepties van Frankrijk en Italië ten aanzien van de standaard niet positief. </w:t>
      </w:r>
    </w:p>
    <w:p w:rsidR="00374656" w:rsidRDefault="00374656" w:rsidP="001E23EF"/>
    <w:p w:rsidR="00374656" w:rsidRDefault="00374656" w:rsidP="001E23EF">
      <w:pPr>
        <w:pStyle w:val="Heading3"/>
      </w:pPr>
      <w:bookmarkStart w:id="61" w:name="_Toc296778032"/>
      <w:r>
        <w:t>4.5 Verenigd Koninkrijk</w:t>
      </w:r>
      <w:bookmarkEnd w:id="61"/>
    </w:p>
    <w:p w:rsidR="00374656" w:rsidRDefault="00374656" w:rsidP="001E23EF">
      <w:r>
        <w:t>De gepubliceerde IFRS for SMEs is in Verenigd Koninkrijk nog niet toegestaan (PWC, 2010), maar overwogen wordt tot de verplichting van de standaard (EFRAG, 2009). De UK Accounting Standard Board (hierna: ASB) vindt dat de IFRS for SMEs geschikt is voor niet-beursgenoteerde ondernemingen omdat de standaard ook geschikt is voor niet-beursgenoteerde ondernemingen in de rest van de wereld (O’Keeffe, 2010). Volgens Mackintosh, de voorzitter van de ASB, wordt een nieuw UK GAAP gedefinieerd om één verslaggevingraamwerk te creëren (Beattie, 2010). Het voorgestelde raamwerk van de ASB ziet als volgt uit (O’Keeffe, 2010):</w:t>
      </w:r>
    </w:p>
    <w:tbl>
      <w:tblPr>
        <w:tblpPr w:leftFromText="141" w:rightFromText="141" w:vertAnchor="text" w:horzAnchor="margin" w:tblpXSpec="center" w:tblpY="40"/>
        <w:tblW w:w="8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755"/>
        <w:gridCol w:w="3110"/>
        <w:gridCol w:w="4987"/>
      </w:tblGrid>
      <w:tr w:rsidR="00374656" w:rsidRPr="00FF1C3C" w:rsidTr="00842650">
        <w:trPr>
          <w:trHeight w:val="300"/>
        </w:trPr>
        <w:tc>
          <w:tcPr>
            <w:tcW w:w="8852" w:type="dxa"/>
            <w:gridSpan w:val="3"/>
            <w:noWrap/>
            <w:vAlign w:val="bottom"/>
          </w:tcPr>
          <w:p w:rsidR="00374656" w:rsidRPr="00FF1C3C" w:rsidRDefault="00374656" w:rsidP="00842650">
            <w:pPr>
              <w:spacing w:after="0"/>
              <w:jc w:val="center"/>
              <w:rPr>
                <w:b/>
                <w:bCs/>
                <w:color w:val="000000"/>
                <w:lang w:eastAsia="nl-NL"/>
              </w:rPr>
            </w:pPr>
            <w:r w:rsidRPr="00FF1C3C">
              <w:rPr>
                <w:b/>
                <w:bCs/>
                <w:color w:val="000000"/>
                <w:lang w:eastAsia="nl-NL"/>
              </w:rPr>
              <w:t>Voorstel raamwerk ASB</w:t>
            </w:r>
          </w:p>
        </w:tc>
      </w:tr>
      <w:tr w:rsidR="00374656" w:rsidRPr="00FF1C3C" w:rsidTr="00842650">
        <w:trPr>
          <w:trHeight w:val="300"/>
        </w:trPr>
        <w:tc>
          <w:tcPr>
            <w:tcW w:w="755" w:type="dxa"/>
            <w:noWrap/>
            <w:vAlign w:val="bottom"/>
          </w:tcPr>
          <w:p w:rsidR="00374656" w:rsidRPr="00FF1C3C" w:rsidRDefault="00374656" w:rsidP="00842650">
            <w:pPr>
              <w:spacing w:after="0"/>
              <w:jc w:val="center"/>
              <w:rPr>
                <w:color w:val="000000"/>
                <w:lang w:eastAsia="nl-NL"/>
              </w:rPr>
            </w:pPr>
            <w:r w:rsidRPr="00FF1C3C">
              <w:rPr>
                <w:color w:val="000000"/>
                <w:lang w:eastAsia="nl-NL"/>
              </w:rPr>
              <w:t>Tier</w:t>
            </w:r>
          </w:p>
        </w:tc>
        <w:tc>
          <w:tcPr>
            <w:tcW w:w="3110" w:type="dxa"/>
            <w:noWrap/>
            <w:vAlign w:val="bottom"/>
          </w:tcPr>
          <w:p w:rsidR="00374656" w:rsidRPr="00FF1C3C" w:rsidRDefault="00374656" w:rsidP="00842650">
            <w:pPr>
              <w:spacing w:after="0"/>
              <w:jc w:val="center"/>
              <w:rPr>
                <w:color w:val="000000"/>
                <w:lang w:eastAsia="nl-NL"/>
              </w:rPr>
            </w:pPr>
            <w:r w:rsidRPr="00FF1C3C">
              <w:rPr>
                <w:color w:val="000000"/>
                <w:lang w:eastAsia="nl-NL"/>
              </w:rPr>
              <w:t>Raamwerk rapportage</w:t>
            </w:r>
          </w:p>
        </w:tc>
        <w:tc>
          <w:tcPr>
            <w:tcW w:w="4987" w:type="dxa"/>
            <w:noWrap/>
            <w:vAlign w:val="bottom"/>
          </w:tcPr>
          <w:p w:rsidR="00374656" w:rsidRPr="00FF1C3C" w:rsidRDefault="00374656" w:rsidP="00842650">
            <w:pPr>
              <w:spacing w:after="0"/>
              <w:jc w:val="center"/>
              <w:rPr>
                <w:color w:val="000000"/>
                <w:lang w:eastAsia="nl-NL"/>
              </w:rPr>
            </w:pPr>
            <w:r w:rsidRPr="00FF1C3C">
              <w:rPr>
                <w:color w:val="000000"/>
                <w:lang w:eastAsia="nl-NL"/>
              </w:rPr>
              <w:t>Criteria</w:t>
            </w:r>
          </w:p>
        </w:tc>
      </w:tr>
      <w:tr w:rsidR="00374656" w:rsidRPr="00FF1C3C" w:rsidTr="00842650">
        <w:trPr>
          <w:trHeight w:val="300"/>
        </w:trPr>
        <w:tc>
          <w:tcPr>
            <w:tcW w:w="755" w:type="dxa"/>
            <w:noWrap/>
            <w:vAlign w:val="bottom"/>
          </w:tcPr>
          <w:p w:rsidR="00374656" w:rsidRPr="00FF1C3C" w:rsidRDefault="00374656" w:rsidP="00842650">
            <w:pPr>
              <w:spacing w:after="0"/>
              <w:rPr>
                <w:color w:val="000000"/>
                <w:lang w:eastAsia="nl-NL"/>
              </w:rPr>
            </w:pPr>
            <w:r w:rsidRPr="00FF1C3C">
              <w:rPr>
                <w:color w:val="000000"/>
                <w:lang w:eastAsia="nl-NL"/>
              </w:rPr>
              <w:t>Tier 1</w:t>
            </w:r>
          </w:p>
        </w:tc>
        <w:tc>
          <w:tcPr>
            <w:tcW w:w="3110" w:type="dxa"/>
            <w:noWrap/>
            <w:vAlign w:val="bottom"/>
          </w:tcPr>
          <w:p w:rsidR="00374656" w:rsidRPr="00FF1C3C" w:rsidRDefault="00374656" w:rsidP="00842650">
            <w:pPr>
              <w:spacing w:after="0"/>
              <w:rPr>
                <w:color w:val="000000"/>
                <w:lang w:eastAsia="nl-NL"/>
              </w:rPr>
            </w:pPr>
            <w:r w:rsidRPr="00FF1C3C">
              <w:rPr>
                <w:color w:val="000000"/>
                <w:lang w:eastAsia="nl-NL"/>
              </w:rPr>
              <w:t>EU-toegepaste IFRS (full-IFRS)</w:t>
            </w:r>
          </w:p>
        </w:tc>
        <w:tc>
          <w:tcPr>
            <w:tcW w:w="4987" w:type="dxa"/>
            <w:noWrap/>
            <w:vAlign w:val="bottom"/>
          </w:tcPr>
          <w:p w:rsidR="00374656" w:rsidRPr="00FF1C3C" w:rsidRDefault="00374656" w:rsidP="00842650">
            <w:pPr>
              <w:spacing w:after="0"/>
              <w:rPr>
                <w:color w:val="000000"/>
                <w:lang w:eastAsia="nl-NL"/>
              </w:rPr>
            </w:pPr>
            <w:r w:rsidRPr="00FF1C3C">
              <w:rPr>
                <w:color w:val="000000"/>
                <w:lang w:eastAsia="nl-NL"/>
              </w:rPr>
              <w:t>Beursgenoteerde ondernemingen</w:t>
            </w:r>
          </w:p>
        </w:tc>
      </w:tr>
      <w:tr w:rsidR="00374656" w:rsidRPr="00FF1C3C" w:rsidTr="00842650">
        <w:trPr>
          <w:trHeight w:val="300"/>
        </w:trPr>
        <w:tc>
          <w:tcPr>
            <w:tcW w:w="755" w:type="dxa"/>
            <w:noWrap/>
            <w:vAlign w:val="bottom"/>
          </w:tcPr>
          <w:p w:rsidR="00374656" w:rsidRPr="00FF1C3C" w:rsidRDefault="00374656" w:rsidP="00842650">
            <w:pPr>
              <w:spacing w:after="0"/>
              <w:rPr>
                <w:color w:val="000000"/>
                <w:lang w:val="en-US" w:eastAsia="nl-NL"/>
              </w:rPr>
            </w:pPr>
            <w:r w:rsidRPr="00FF1C3C">
              <w:rPr>
                <w:color w:val="000000"/>
                <w:lang w:val="en-US" w:eastAsia="nl-NL"/>
              </w:rPr>
              <w:t>Tier 2</w:t>
            </w:r>
          </w:p>
        </w:tc>
        <w:tc>
          <w:tcPr>
            <w:tcW w:w="3110" w:type="dxa"/>
            <w:noWrap/>
            <w:vAlign w:val="bottom"/>
          </w:tcPr>
          <w:p w:rsidR="00374656" w:rsidRPr="00FF1C3C" w:rsidRDefault="00374656" w:rsidP="00842650">
            <w:pPr>
              <w:spacing w:after="0"/>
              <w:rPr>
                <w:color w:val="000000"/>
                <w:lang w:val="en-US" w:eastAsia="nl-NL"/>
              </w:rPr>
            </w:pPr>
            <w:r w:rsidRPr="00FF1C3C">
              <w:rPr>
                <w:color w:val="000000"/>
                <w:lang w:val="en-US" w:eastAsia="nl-NL"/>
              </w:rPr>
              <w:t>IFRS for SMEs</w:t>
            </w:r>
          </w:p>
        </w:tc>
        <w:tc>
          <w:tcPr>
            <w:tcW w:w="4987" w:type="dxa"/>
            <w:noWrap/>
            <w:vAlign w:val="bottom"/>
          </w:tcPr>
          <w:p w:rsidR="00374656" w:rsidRPr="00FF1C3C" w:rsidRDefault="00374656" w:rsidP="00842650">
            <w:pPr>
              <w:spacing w:after="0"/>
              <w:rPr>
                <w:color w:val="000000"/>
                <w:lang w:eastAsia="nl-NL"/>
              </w:rPr>
            </w:pPr>
            <w:r w:rsidRPr="00FF1C3C">
              <w:rPr>
                <w:color w:val="000000"/>
                <w:lang w:eastAsia="nl-NL"/>
              </w:rPr>
              <w:t>Niet-beursgenoteerde ondernemingen</w:t>
            </w:r>
          </w:p>
        </w:tc>
      </w:tr>
      <w:tr w:rsidR="00374656" w:rsidRPr="00FF1C3C" w:rsidTr="00842650">
        <w:trPr>
          <w:trHeight w:val="300"/>
        </w:trPr>
        <w:tc>
          <w:tcPr>
            <w:tcW w:w="755" w:type="dxa"/>
            <w:noWrap/>
            <w:vAlign w:val="bottom"/>
          </w:tcPr>
          <w:p w:rsidR="00374656" w:rsidRPr="00FF1C3C" w:rsidRDefault="00374656" w:rsidP="00842650">
            <w:pPr>
              <w:spacing w:after="0"/>
              <w:rPr>
                <w:color w:val="000000"/>
                <w:lang w:eastAsia="nl-NL"/>
              </w:rPr>
            </w:pPr>
            <w:r w:rsidRPr="00FF1C3C">
              <w:rPr>
                <w:color w:val="000000"/>
                <w:lang w:eastAsia="nl-NL"/>
              </w:rPr>
              <w:t>Tier 3</w:t>
            </w:r>
          </w:p>
        </w:tc>
        <w:tc>
          <w:tcPr>
            <w:tcW w:w="3110" w:type="dxa"/>
            <w:noWrap/>
            <w:vAlign w:val="bottom"/>
          </w:tcPr>
          <w:p w:rsidR="00374656" w:rsidRPr="00FF1C3C" w:rsidRDefault="00374656" w:rsidP="00842650">
            <w:pPr>
              <w:spacing w:after="0"/>
              <w:rPr>
                <w:color w:val="000000"/>
                <w:lang w:eastAsia="nl-NL"/>
              </w:rPr>
            </w:pPr>
            <w:r w:rsidRPr="00FF1C3C">
              <w:rPr>
                <w:color w:val="000000"/>
                <w:lang w:eastAsia="nl-NL"/>
              </w:rPr>
              <w:t>FRSSE</w:t>
            </w:r>
          </w:p>
        </w:tc>
        <w:tc>
          <w:tcPr>
            <w:tcW w:w="4987" w:type="dxa"/>
            <w:noWrap/>
            <w:vAlign w:val="bottom"/>
          </w:tcPr>
          <w:p w:rsidR="00374656" w:rsidRPr="00FF1C3C" w:rsidRDefault="00374656" w:rsidP="00842650">
            <w:pPr>
              <w:spacing w:after="0"/>
              <w:rPr>
                <w:color w:val="000000"/>
                <w:lang w:eastAsia="nl-NL"/>
              </w:rPr>
            </w:pPr>
            <w:r w:rsidRPr="00FF1C3C">
              <w:rPr>
                <w:color w:val="000000"/>
                <w:lang w:eastAsia="nl-NL"/>
              </w:rPr>
              <w:t>Ondernemingen die gekwalificeerd worden als 'klein'</w:t>
            </w:r>
          </w:p>
        </w:tc>
      </w:tr>
    </w:tbl>
    <w:p w:rsidR="00374656" w:rsidRDefault="00374656" w:rsidP="001E23EF"/>
    <w:p w:rsidR="00374656" w:rsidRDefault="00374656" w:rsidP="001E23EF">
      <w:r>
        <w:t>Alle ondernemingen die onder tier 2 of 3 vallen, kunnen het rapportageraamwerk gebruiken van een hogere tier. De ondernemingen die in het Verenigd Koninkrijk onder de ‘Companies Act’ als klein worden beschouwd</w:t>
      </w:r>
      <w:r>
        <w:rPr>
          <w:rStyle w:val="FootnoteReference"/>
        </w:rPr>
        <w:footnoteReference w:id="9"/>
      </w:r>
      <w:r>
        <w:t xml:space="preserve">, kunnen de full-IFRS dan wel de Financial Reporting Standard for Smaller Entities (hierna: FRSSE) toepassen (ACCA, 2011). De FRSSE is gebaseerd op de UK GAAP en heeft minder toelichtingvereisten maar heeft enkele vrijstellingen zoals het opstellen van geconsolideerde jaarrekeningen en het kasstroomoverzicht. </w:t>
      </w:r>
    </w:p>
    <w:p w:rsidR="00374656" w:rsidRDefault="00374656" w:rsidP="001E23EF">
      <w:r>
        <w:t>De vraag rijst waarom behoefte is aan een nieuw verslaggevingraamwerk. Het antwoord heeft betrekking op het huidige convergentieproces. De meeste Engelse SMEs zijn voorstanders van het convergentieproces van de UK GAAP met de IFRS (ACCA, 2011; Mazars 2008). Uit het onderzoek van ACCA (2011) is gebleken dat de meerderheid van de respondenten de FRSSE wil vervangen door de IFRS for SMEs, dat in lijn is met de algemene perceptie ten aanzien van de convergentie. Hoewel de standaard geassocieerd wordt met teveel fair values, beoordelingen en kosten, zijn deze kenmerken in de praktijk niet bezwarend voor de meeste ondernemingen (Sleigh-Johnson en Shearer, 2009). De ASB wil echter enkele verbeteringen aanbrengen aan de IFRS for SMEs, namelijk het elimineren van onmiddellijke afschrijving van de negatieve goodwill en opties met betrekking tot de fair value van joint ventures, toestaan van buitengewone posten, verwijzingen naar de Companies Act voor de vereisten om geconsolideerde jaarrekeningen op te stellen, vervangen van de sectie winstbelasting door IAS12 en vermindering van toelichtingvereisten voor dochtermaatschappijen. De respondenten zijn het eens met de voorgestelde verbeteringen.</w:t>
      </w:r>
    </w:p>
    <w:p w:rsidR="00374656" w:rsidRDefault="00374656" w:rsidP="001E23EF">
      <w:pPr>
        <w:rPr>
          <w:b/>
          <w:bCs/>
          <w:i/>
          <w:iCs/>
        </w:rPr>
      </w:pPr>
      <w:r>
        <w:rPr>
          <w:i/>
          <w:iCs/>
        </w:rPr>
        <w:t xml:space="preserve">De cultuur </w:t>
      </w:r>
    </w:p>
    <w:p w:rsidR="00374656" w:rsidRDefault="00374656" w:rsidP="001E23EF">
      <w:r>
        <w:t xml:space="preserve">In tegenstelling tot Duitsland, behoort het Verenigd koninkrijk tot de common-law landen die gekenmerkt worden door het outsidersysteem en een kleine invloed van de belastingregulering op de verslaggeving. Het doel van de jaarrekeningen dienen een eerlijke en onbevooroordeeld beeld te geven van de performance van de onderneming. Dit geschiedt door middel van professionele beoordelingen van accountants. Vermoed kan worden, is dat het Verenigd Koninkrijk minder weerstand biedt tegen de IFRS for SMEs, die evenals de full-IFRS gebaseerd is op de Anglo-American model. Bovendien wordt het verenigd Koninkrijk volgens het model van Gray gegroepeerd onder de Angelsaksische landen die in verband worden gebracht met de verslaggevingwaarden professionalism, flexibiliteit, transparantie en optimisme. </w:t>
      </w:r>
    </w:p>
    <w:p w:rsidR="00374656" w:rsidRDefault="00374656" w:rsidP="001E23EF">
      <w:r>
        <w:t>Het vermoeden dat het Verenigd koninkrijk minder weerstand biedt tegen de IFRS for SMEs, wordt ondersteund door de reacties op de consultatie van de Europese Commissie. Uit de resultaten blijkt dat het Verenigd Koninkrijk een positief beeld heeft van de toepassing van de IFRS for SMEs. De meerderheid van de respondenten vindt de standaard geschikt voor algemeen gebruik en heeft geen behoefte aan een rules-based standaard. De veronderstelling dat de Angelsaksische landen hechten aan flexibiliteit in het Gray’s model wordt echter niet ondersteund. Uit de resultaten van de ASB blijkt dat de respondenten voorkeur hebben voor uniforme grondslagen.</w:t>
      </w:r>
    </w:p>
    <w:p w:rsidR="00374656" w:rsidRDefault="00374656" w:rsidP="001E23EF">
      <w:pPr>
        <w:rPr>
          <w:i/>
          <w:iCs/>
        </w:rPr>
      </w:pPr>
      <w:r>
        <w:rPr>
          <w:i/>
          <w:iCs/>
        </w:rPr>
        <w:t xml:space="preserve">De belastingregulering </w:t>
      </w:r>
    </w:p>
    <w:p w:rsidR="00374656" w:rsidRDefault="00374656" w:rsidP="001E23EF">
      <w:r>
        <w:t xml:space="preserve">In het Verenigd Koninkrijk is sprake van een quasi-afhankelijk belastingsysteem. Hoewel verondersteld wordt dat de belastingregulering in Verenigd Koninkrijk weinig invloed heeft op de verslaggeving, wordt deze link sterk waargenomen door de respondenten van Mazars. Bovendien wordt deze links als positief beschouwd vanwege de vermindering van de administratieve lasten. De desbetreffende respondenten zijn echter voorstanders van de toepassing van de IFRS for SMEs, omdat de relevantie van de jaarrekening voor het management toeneemt. Daarentegen resulteert uit de enquête van de ASB een groot bezwaar tegen de verbreking van de link dat slechts voor administratieve lasten en complexiteit zorgt. </w:t>
      </w:r>
    </w:p>
    <w:p w:rsidR="00374656" w:rsidRDefault="00374656" w:rsidP="001E23EF">
      <w:pPr>
        <w:rPr>
          <w:i/>
          <w:iCs/>
        </w:rPr>
      </w:pPr>
      <w:r>
        <w:rPr>
          <w:i/>
          <w:iCs/>
        </w:rPr>
        <w:t xml:space="preserve">De gebruikers van de financiële verslagen </w:t>
      </w:r>
    </w:p>
    <w:p w:rsidR="00374656" w:rsidRDefault="00374656" w:rsidP="001E23EF">
      <w:r>
        <w:t xml:space="preserve">Net als andere Europese landen, identificeert het Verenigde Koninkrijk banken als belangrijkste gebruikers. Een opvallend punt is dat de tweede belangrijkste groep gebruikers het management betreft, hetgeen afwijkt van het Europese gemiddelde. Bovendien behoren de belastingautoriteiten niet tot de belangrijkste drie hoofdgebruikers. Dit verklaart waarom de Engelse SMEs niet bezwaarlijk vinden dat de link tussen de belastingen en de verslaggeving verbroken wordt door de toepassing van de standaard. Ook vanuit het perspectief van de gebruikers is de standaard gewenst blijkens de reacties op de consultatie. De meerderheid van de respondenten vinden dat de toenemende vergelijkbaarheid baten oplevert voor de gebruikers. </w:t>
      </w:r>
    </w:p>
    <w:p w:rsidR="00374656" w:rsidRDefault="00374656" w:rsidP="001E23EF">
      <w:pPr>
        <w:rPr>
          <w:i/>
          <w:iCs/>
        </w:rPr>
      </w:pPr>
      <w:r>
        <w:rPr>
          <w:i/>
          <w:iCs/>
        </w:rPr>
        <w:t xml:space="preserve">De kosten- en batenanalyse </w:t>
      </w:r>
    </w:p>
    <w:p w:rsidR="00374656" w:rsidRDefault="00374656" w:rsidP="001E23EF">
      <w:r>
        <w:t xml:space="preserve">De belangrijkste voordelen uit het onderzoek van Mazars is de vereenvoudiging van de communicatie binnen de groep, gevolgd door de bevordering van de vergelijkbaarheid. De kosten met betrekking tot de voorbereiding van de financiële verslagen en interpretatiemoeilijkheden worden als belangrijkste nadelen gevonden. Een opmerkelijk punt is dat de Verenigde Koninkrijk samen met Duitsland als enige het risico voor het verlies van nationale invloed als een nadeel zien. Volgens het onderzoek van ACCA (2008) zullen de volgende kosten optreden bij de toepassing van de standaard: trainingskosten, softwarekosten, interne voorbereidingskosten, externe advieskosten, controle transitiekosten en complexere berekeningen door gebruik van de fair value. Er zijn geen specifieke kosten die als zeer belangrijk wordt gevonden. </w:t>
      </w:r>
    </w:p>
    <w:p w:rsidR="00374656" w:rsidRDefault="00374656" w:rsidP="001E23EF">
      <w:r>
        <w:rPr>
          <w:u w:val="single"/>
        </w:rPr>
        <w:t>Tussenconclusie:</w:t>
      </w:r>
      <w:r>
        <w:t xml:space="preserve"> in de Verenigd Koninkrijk is de IFRS for SMEs momenteel niet toegestaan, maar overwogen wordt tot de verplichting ervan. De ASB is positief over de harmonisatie van de IASB en wil zich daaraan aanpassen, mits enkele verbeteringen worden aangepast aan de standaard. Ook perceptie van de Engelse SMEs is positief, deze willen echter dat de toepassing optioneel blijft aangezien niet alleen baten maar ook kosten eraan verbonden zijn. Er zijn geen specifieke kosten of baten die de invoering belemmeren of steunen. </w:t>
      </w:r>
    </w:p>
    <w:p w:rsidR="00374656" w:rsidRDefault="00374656" w:rsidP="001E23EF">
      <w:pPr>
        <w:pStyle w:val="Heading3"/>
        <w:rPr>
          <w:i/>
          <w:iCs/>
          <w:sz w:val="24"/>
          <w:szCs w:val="24"/>
        </w:rPr>
      </w:pPr>
      <w:bookmarkStart w:id="62" w:name="_Toc296778033"/>
      <w:r>
        <w:t>4.6 Zweden</w:t>
      </w:r>
      <w:bookmarkEnd w:id="62"/>
    </w:p>
    <w:p w:rsidR="00374656" w:rsidRDefault="00374656" w:rsidP="001E23EF">
      <w:r>
        <w:t xml:space="preserve">In Zweden is de IFRS for SMEs ook niet toegestaan (PWC, 2010). Voor het opstellen van de jaarrekeningen volgen de meeste Zweedse SMEs de bepalingen en regels van de Zweedse GAAP (Aamir en Farooq, 2010). De Zweedse SMEs zullen niet direct overgaan tot het gebruik van de IFRS for SMEs omdat zij al een verslaggevingsysteem hebben die in overeenstemming is met de Zweedse wetgeving en belastingregulering. </w:t>
      </w:r>
    </w:p>
    <w:p w:rsidR="00374656" w:rsidRDefault="00374656" w:rsidP="001E23EF">
      <w:pPr>
        <w:rPr>
          <w:i/>
          <w:iCs/>
        </w:rPr>
      </w:pPr>
      <w:r>
        <w:rPr>
          <w:i/>
          <w:iCs/>
        </w:rPr>
        <w:t xml:space="preserve">De cultuur </w:t>
      </w:r>
    </w:p>
    <w:p w:rsidR="00374656" w:rsidRDefault="00374656" w:rsidP="001E23EF">
      <w:r>
        <w:t>Volgens het model van Gray, waarin Zweden evenals Nederland als de Noord-Europese landen wordt geclassificeerd, wordt Zweden in verband gebracht met de verslaggevingwaarden professionalism, optimisme, transparantie en flexibiliteit. Dit beeld komt overeen met de resultaten van de Europese Commissie waarin de perceptie van ten aanzien van de invoering van de IFRS for SMEs van de Zweedse respondenten positief is. In tegenstelling tot de voorgaande uitkomsten, resulteert uit de onderzoeken van Aamir en Farooq (2010) en Göransson (2008) een negatief beeld. Aamir en Farooq hebben door middel van een enquêteonderzoek geprobeerd een antwoord te vinden op de vraag of de Zweedse SMEs bereid zijn om de IFRS for SMEs toe te passen. De 11 respondenten bestaan uit experts, controllers en het management van SMEs. Hieruit resulteert dat de SMEs en de markten in Zweden zeer tevreden zijn met de nationale verslaggevingstandaarden en niet overwegen om nieuwe standaarden toe te passen, zoals de IFRS for SMEs. Bovendien kan de meerderheid van de Zweedse SMEs, die geen relatie heeft met de internationale kapitaalmarkten, geen redenen verzinnen om de IFRS for SMEs in te voeren. Göransson (2008) heeft geprobeerd een antwoord te vinden op de vraag of de IFRS for SMEs geschikt is voor de Zweedse SMEs. Het onderzoek is gebaseerd op verschillende literatuuronderzoeken en vijf interviews, waarvan twee geïnterviewden leden zijn van de Zweedse Accounting Standards Board (BFN) en de rest van de geïnterviewden representeert het oogpunt van een onderzoeker, practicus en een bank. Ook hieruit blijkt dat de IFRS for SMEs niet geschikt is voor de Zweedse SMEs doordat de kosten van de invoering van de standaard de baten overtreffen. Bovendien hebben de Zweedse SMEs onvoldoende kennis omtrent de standaard, dat vergroot de weerstand tegen de invoering van de standaard (Aamir en Farooq, 2010).</w:t>
      </w:r>
    </w:p>
    <w:p w:rsidR="00374656" w:rsidRDefault="00374656" w:rsidP="001E23EF">
      <w:pPr>
        <w:rPr>
          <w:i/>
          <w:iCs/>
        </w:rPr>
      </w:pPr>
      <w:r>
        <w:rPr>
          <w:i/>
          <w:iCs/>
        </w:rPr>
        <w:t xml:space="preserve">De belastingregulering </w:t>
      </w:r>
    </w:p>
    <w:p w:rsidR="00374656" w:rsidRDefault="00374656" w:rsidP="001E23EF">
      <w:r>
        <w:t xml:space="preserve">De invloed van de belastingen op de verslaggeving is groot in Zweden. In Zweden is namelijk sprake van een afhankelijke belastingsysteem (PWC, 2010). De Zweedse verslaggevingstandaard is sterk gekoppeld aan de belastingregelgeving. De meeste Zweedse SMEs willen daarom niet de IFRS for SMEs invoeren. De toepassing van de standaard leidt namelijk tot een verdubbeling van de administratieve lasten. Door de toenemende complexiteit zullen ondernemingen de Zweedse GAAP eerder gebruiken dan de IFRS for SMEs (Aamir en Farooq, 2010). </w:t>
      </w:r>
    </w:p>
    <w:p w:rsidR="00374656" w:rsidRDefault="00374656" w:rsidP="001E23EF">
      <w:pPr>
        <w:rPr>
          <w:i/>
          <w:iCs/>
        </w:rPr>
      </w:pPr>
      <w:r>
        <w:rPr>
          <w:i/>
          <w:iCs/>
        </w:rPr>
        <w:t xml:space="preserve">De gebruikers van de financiële verslagen </w:t>
      </w:r>
    </w:p>
    <w:p w:rsidR="00374656" w:rsidRDefault="00374656" w:rsidP="001E23EF">
      <w:r>
        <w:t>Ook in Zweden worden banken als de belangrijkste gebruikers gezien (Aamir en Farooq, 2010; Göransson, 2008). Vanuit het perspectief van de banken is geen behoefte aan de IFRS for SMEs. Banken rekenen niet helemaal op de financiële verslagen van een onderneming ten behoeve van het nemen van beslissingen omtrent kredietverlening, maar nemen ook andere factoren mee (Aamir en Farooq, 2010). Volgens Nilsson, een professor en onderzoeker op het gebied van financiële internationale accounting en tevens de respondent van Göransson (2008), is geen behoefte aan een speciale standaard die voldoet aan de behoeften van gebruikers zoals banken. De respondent gelooft dat banken op een vanzelfsprekende wijze kunnen profiteren van de kwalitatieve verslaggevingstandaarden. Bovendien eisen banken interne verslaggevinginformatie dat niet gereguleerd wordt door de verslaggevingstandaarden. Naast banken zijn ook eigenaren, het management en belastingautoriteiten de meest voorkomende gebruikers van de Zweedse SMEs (Aamir en Farooq, 2010). De meerderheid van de eigenaren en het management rekenen ook niet op de financiële verslagen maar kunnen door hun betrokkenheid in de onderneming beslissingen nemen. Al met al is de standaard niet gewenst vanuit het perspectief van de gebruikers van de financiële verslagen van de Zweedse SMEs.</w:t>
      </w:r>
    </w:p>
    <w:p w:rsidR="00374656" w:rsidRDefault="00374656" w:rsidP="001E23EF">
      <w:pPr>
        <w:rPr>
          <w:i/>
          <w:iCs/>
        </w:rPr>
      </w:pPr>
      <w:r>
        <w:rPr>
          <w:i/>
          <w:iCs/>
        </w:rPr>
        <w:t xml:space="preserve">De kosten- en batenanalyse </w:t>
      </w:r>
    </w:p>
    <w:p w:rsidR="00374656" w:rsidRDefault="00374656" w:rsidP="001E23EF">
      <w:r>
        <w:t xml:space="preserve">Volgens Aamir en Farooq (2010) kunnen micro en kleine ondernemingen de initiële kosten met betrekking tot de invoering van de IFRS for SMEs niet verdragen doordat de voordelen zich pas voordoen op lange termijn. Slechts voor medium-sized ondernemingen en ondernemingen met lange termijn doelstellingen zoals overnames en fusies, zal de standaard voordelen opleveren. De voordelen kunnen de opgelopen initiële kosten compenseren. Onder de kosten vallen onder andere de trainingskosten van personeelsleden, huurkosten van experts en voorbereidingskosten. </w:t>
      </w:r>
    </w:p>
    <w:p w:rsidR="00374656" w:rsidRDefault="00374656" w:rsidP="001E23EF">
      <w:r>
        <w:rPr>
          <w:u w:val="single"/>
        </w:rPr>
        <w:t>Tussenconclusie:</w:t>
      </w:r>
      <w:r>
        <w:t xml:space="preserve"> Het beeld dat de Zweedse SMEs hebben van de IFRS for SMEs is negatief. De voornaamste reden is dat zij tevreden zijn met de huidige verslaggevingstandaard die sterk gerelateerd is met de Zweedse wetgeving en de belastingregulering. De Zweedse SMEs hebben dus geen behoefte aan een nieuwe standaard. De kosten met betrekking tot de invoering van de IFRS for SMEs overtreffen de baten volgens de Zweedse SMEs. </w:t>
      </w:r>
    </w:p>
    <w:p w:rsidR="00374656" w:rsidRDefault="00374656" w:rsidP="001E23EF">
      <w:r>
        <w:br w:type="page"/>
      </w:r>
    </w:p>
    <w:p w:rsidR="00374656" w:rsidRDefault="00374656" w:rsidP="001E23EF">
      <w:pPr>
        <w:pStyle w:val="Heading1"/>
        <w:jc w:val="center"/>
      </w:pPr>
      <w:bookmarkStart w:id="63" w:name="_Toc296778034"/>
      <w:r>
        <w:t>De analyse</w:t>
      </w:r>
      <w:bookmarkEnd w:id="63"/>
    </w:p>
    <w:p w:rsidR="00374656" w:rsidRDefault="00374656" w:rsidP="001E23EF">
      <w:pPr>
        <w:pStyle w:val="Heading2"/>
      </w:pPr>
      <w:bookmarkStart w:id="64" w:name="_Toc296778035"/>
      <w:r>
        <w:t>Hoofdstuk 5</w:t>
      </w:r>
      <w:bookmarkEnd w:id="64"/>
    </w:p>
    <w:p w:rsidR="00374656" w:rsidRDefault="00374656" w:rsidP="001E23EF">
      <w:r>
        <w:t>In het voorgaande hoofdstuk zijn zes landen afzonderlijk behandeld. De kijk van deze landen op de invoering van de IFRS for SMEs is naar voren gekomen. In dit hoofdstuk worden de landen naast elkaar gezet en een koppeling zal tevens worden gemaakt aan de theorieën die besproken zijn in het theoretisch kader. Daarnaast wordt een algemene perceptie van Europa gegeven op basis van de resultaten van de zes besproken landen.</w:t>
      </w:r>
    </w:p>
    <w:p w:rsidR="00374656" w:rsidRDefault="00374656" w:rsidP="001E23EF">
      <w:pPr>
        <w:pStyle w:val="Heading3"/>
      </w:pPr>
      <w:bookmarkStart w:id="65" w:name="_Toc296778036"/>
      <w:r>
        <w:t>5.1 Percepties van landen</w:t>
      </w:r>
      <w:bookmarkEnd w:id="65"/>
      <w:r>
        <w:t xml:space="preserve"> </w:t>
      </w:r>
    </w:p>
    <w:p w:rsidR="00374656" w:rsidRDefault="00374656" w:rsidP="001E23EF">
      <w:r>
        <w:t xml:space="preserve">Het Verenigd Koninkrijk en Nederland hebben een positieve kijk op de IFRS for SMEs, deze willen de standaard toepassen of verplichten. Daarentegen zijn Frankrijk, Italië, Duitsland en Zweden niet van de plan om de standaard toe te passen. Deze percepties ten aanzien van de invoering van de IFRS for SMEs komen overeen met de verwachtingen op basis van het model van Gray die beschreven zijn in het theoretische kader. Slechts de perceptie van Zweden, die meer positief verondersteld was, wijkt af van het model. Zoals Kamp (2011) bewees met zijn onderzoek, is het in het model van Gray beschreven effect van verslaggevingwaarden professionalism versus statutory control sterk aanwezig. De aanvaardbaarheid van de IFRS for SMEs heeft mede te maken met de mate waarin de bepalingen en regels van de nationale GAAP overeenkomen met de bepalingen en regels van de IASB. Uit de onderzoeken is gebleken dat de respondenten sterk hechten aan de nationale GAAP. Bovendien zijn de SMEs niet voldoende geïnformeerd over de standaard, dit vergroot de weerstand tegen de invoering. </w:t>
      </w:r>
    </w:p>
    <w:p w:rsidR="00374656" w:rsidRDefault="00374656" w:rsidP="001E23EF">
      <w:r>
        <w:t xml:space="preserve">De factor ‘belastingregulering’ heeft een grote invloed op de bereidheid tot de invoering van de standaard. De effecten komen overeen met de veronderstellingen die gedaan zijn in het theoretisch kader. Slechts in Nederland geldt de onafhankelijke benadering en dus zal de invoering van de IFRS for SMEs geen groot effect hebben. Dit verandert indien de SMEs gekozen hebben voor het samenvallen van de boekhoudkundige winst en de fiscale winst, dit is sinds 2007 mogelijk. De invoering van de standaard zal dan, evenals in de rest van de landen waar sprake is van een afhankelijke of quasi-afhankelijke benadering, leiden tot dubbele boekhouding en de toename van de administratieve lasten. In Duitsland en Zweden, de landen waarin de belastingregulering sterk aansluit op de verslaggeving, hebben de SMEs daarom een groot bezwaar tegen de IFRS for SMEs. Echter een voordeel van de verbreking van de link, dat met name door de meerderheid van de Franse en Italiaanse respondenten van het onderzoek van  Mazars  wordt gevonden, is de toenemende relevantie van de jaarrekeningen voor het management. </w:t>
      </w:r>
    </w:p>
    <w:p w:rsidR="00374656" w:rsidRDefault="00374656" w:rsidP="001E23EF">
      <w:r>
        <w:t>Het management vormt samen met de banken, belastingautoriteiten en de aandeelhouders de vier belangrijkste gebruikers in de zes Europese landen. In het Verenigd Koninkrijk en Nederland zijn de gebruikers positief over de standaard. In het Verenigd Koninkrijk geldt namelijk de common-law traditie waarbij sprake is van een outsidersysteem. Er is sterke behoefte aan externe verslaggeving met professionele oordeelsvorming. Daarentegen blijkt uit verscheidene onderzoeken dat de respondenten in Duitsland en Zweden minder positief zijn over de standaard vanuit het perspectief van de gebruikers. Zoals in het theoretisch kader beschreven, zullen landen met een insidersysteem grotere weerstand bieden tegen de standaard, aangezien verondersteld wordt dat er geen behoefte is aan externe verslaggeving. Dit komt overeen met de resultaten van het empirisch kader. De meeste genoemde voor- en nadelen komen overeen met de in het theoretisch kader kosten en baten. Onvoldoende kennis omtrent de IFRS for SMEs kan ook als een nadeel worden gezien, die de invoering van de standaard mogelijk kan belemmeren.</w:t>
      </w:r>
    </w:p>
    <w:p w:rsidR="00374656" w:rsidRDefault="00374656" w:rsidP="001E23EF">
      <w:pPr>
        <w:pStyle w:val="Heading3"/>
      </w:pPr>
      <w:bookmarkStart w:id="66" w:name="_Toc296778037"/>
      <w:r>
        <w:t>5.1 Algemene perceptie van Europa</w:t>
      </w:r>
      <w:bookmarkEnd w:id="66"/>
    </w:p>
    <w:p w:rsidR="00374656" w:rsidRDefault="00374656" w:rsidP="001E23EF">
      <w:r>
        <w:t>Over het algemeen weerspiegelen de resultaten van het onderzoek van Mazars een positieve kijk van Europa op de IFRS for SMEs. Alle onderzochte landen zijn voorstanders van een gemeenschappelijke set van verslaggevingstandaarden in heel Europa. Geen duidelijk cultuurverschillen zijn daarom op te maken uit het onderzoek. In tegenstelling tot Mazars, zijn Füllbier en Gassen (2010) minder positief over de IFRS for SMEs. Geconcludeerd wordt dat aan de randvoorwaarden voor een succesvolle harmonisatie van de financiële verslaggeving van SME’s niet voldaan kan worden. Verschillende verslaggevingdoelstellingen in Europa leiden tot verschillen in de financiële verslaggevingresultaten. Uit de onderzoeken van de Europese Commissie en de fieldtesten resulteren uiteenlopende meningen ten aanzien van de toepassing van de standaard. De cultuurverschillen op basis van het model van Gray zijn deels aanwezig. Uit het onderzoek van de Europese Commissie blijkt dat Angelsaksische en Noord-Europese landen positief zijn en Germaanse en Romaanse landen negatief</w:t>
      </w:r>
      <w:r>
        <w:rPr>
          <w:rStyle w:val="FootnoteReference"/>
        </w:rPr>
        <w:footnoteReference w:id="10"/>
      </w:r>
      <w:r>
        <w:t xml:space="preserve">, dit is in lijn met de veronderstellingen van Gray. Slechts de invloed van de verslaggevingwaarden professionalism versus statutory control is nog sterk aanwezig. Ook in de resultaten van de field test komen enkele aspecten van het Gray’s model voor. </w:t>
      </w:r>
    </w:p>
    <w:p w:rsidR="00374656" w:rsidRDefault="00374656" w:rsidP="001E23EF">
      <w:r>
        <w:t xml:space="preserve">Een opvallend punt is dat de factor ‘ belastingregulering’ een grote invloed heeft op de perceptie van Europa. Uit alle drie besproken onderzoeken blijkt dat de landen waarin een link is tussen de belastingregulering en de verslaggeving, bezwaar hebben tegen de verbreking ervan door de toepassing van de IFRS for SMEs. Er is wel een verschil tussen de resultaten van de onderzoeken. Uit de resultaten van de Europese Commissie blijkt met name de Romaanse landen een bezwaar te hebben, terwijl in het onderzoek van Mazars deze juist voor de verbreking van de link zijn. Dit heeft waarschijnlijk te maken met de steekproef en de representativiteit van de onderzoeken. Uit de field testen van de CNC, ASB en GASB blijkt dat alle landen bezwaar hebben. </w:t>
      </w:r>
    </w:p>
    <w:p w:rsidR="00374656" w:rsidRDefault="00374656" w:rsidP="001E23EF">
      <w:r>
        <w:t>De meeste respondenten van de onderzoeken zijn voorstanders van een toepassing van de standaard, die optioneel dient te blijven. Deze zien namelijk de bevordering van de vergelijkbaarheid als het grootste voordeel van de invoering van gemeenschappelijke standaarden voor de SMEs. Vanuit het perspectief van de gebruikers is de standaard daarom gewenst volgens de resultaten van de Europese Commissie. Maar uit de resultaten van het onderzoek van Mazars blijkt dat met name de banken en belastingautoriteiten de belangrijkste gebruikers zijn van de financiële verslagen van de SMEs. Deze zijn echter minder positief over de toepassing van de IFRS for SMEs. De invoering van de standaard zal namelijk veel nadelen met zich meebrengen. De belangrijkste nadelen die genoemd worden in de onderzoeken van de Europese Commissie en de fieldtesten zijn de complexiteit en de uitgebreide toelichtingeisen.</w:t>
      </w:r>
    </w:p>
    <w:p w:rsidR="00374656" w:rsidRDefault="00374656" w:rsidP="001E23EF">
      <w:r>
        <w:t>De algemene perceptie van Europa ten aanzien van de IFRS for SMEs is dus onzeker en twijfelachtig. De standaard mag daarom wel toegepast (optioneel) worden vanwege de voordelen maar niet verplicht vanwege de genoemde kosten en nadelen. Dit komt overeen met de situatie die momenteel in de praktijk speelt.</w:t>
      </w:r>
    </w:p>
    <w:p w:rsidR="00374656" w:rsidRDefault="00374656" w:rsidP="001E23EF">
      <w:pPr>
        <w:spacing w:line="276" w:lineRule="auto"/>
        <w:jc w:val="left"/>
        <w:rPr>
          <w:b/>
          <w:bCs/>
          <w:sz w:val="32"/>
          <w:szCs w:val="32"/>
        </w:rPr>
      </w:pPr>
      <w:r>
        <w:br w:type="page"/>
      </w:r>
    </w:p>
    <w:p w:rsidR="00374656" w:rsidRDefault="00374656" w:rsidP="001E23EF">
      <w:pPr>
        <w:pStyle w:val="Heading1"/>
      </w:pPr>
      <w:bookmarkStart w:id="67" w:name="_Toc296778038"/>
      <w:r>
        <w:t>Samenvatting en Conclusie</w:t>
      </w:r>
      <w:bookmarkEnd w:id="67"/>
    </w:p>
    <w:p w:rsidR="00374656" w:rsidRDefault="00374656" w:rsidP="001E23EF"/>
    <w:p w:rsidR="00374656" w:rsidRDefault="00374656" w:rsidP="001E23EF">
      <w:r>
        <w:t>In juli 2009 is de IFRS for SMEs definitief gepubliceerd. Deze verslaggevingstandaard is bedoeld voor ondernemingen die niet beursgenoteerd zijn, maar die wel de ‘General Purpose Financial Statements’ moeten opstellen voor externe gebruikers. Het doel van de ontwikkeling van de standaard van de IASB is, evenals bij de full-IFRS, het streven naar wereldwijde acceptatie zodat de vergelijkbaarheid van de jaarrekeningen van de SMEs bevordert. In vergelijking met beursgenoteerde ondernemingen hebben SMEs minder regels en bepalingen nodig. De IFRS for SMEs is daarom een vereenvoudigde versie van de full-IFRS met minder gedetailleerde richtlijnen en opties. Indien bijzondere gevallen zich voordoen waarin geen specifieke regels en bepalingen zijn, is een hiërarchie aanwezig voor de juiste verslaggeving.</w:t>
      </w:r>
    </w:p>
    <w:p w:rsidR="00374656" w:rsidRDefault="00374656" w:rsidP="001E23EF">
      <w:r>
        <w:t>Hoewel de IFRS for SMEs in Europa gepubliceerd is, wordt de standaard niet door alle landen toegepast. De toepassing van de standaard blijft optioneel voor de Europese lidstaten. Vanuit theoretisch perspectief kan dit verschil in de bereidheid tot de invoering van de standaard mede worden verklaard door de volgende factoren. Ten eerste kan de cultuur van grote invloed zijn volgens het model van Gray. In dit model worden de verslaggevingwaarden in verband gebracht met de verslaggevingpraktijken. Hieruit kan worden verondersteld dat Angelsaksische landen en Noord-Europese landen minder weerstand bieden tegen de invoering van de standaard. De Germaanse en Romaanse landen zijn daarentegen niet bereid de standaard in te voeren. Ten tweede kan de invloed van de belastingregulering op de verslaggeving bepalend zijn voor de invoering van de standaard. Er kan worden vermoed dat in landen waar de belastingregulering sterk aansluit op de verslaggeving, de weerstand tegen de IFRS for SMEs groter is. Een nieuwe standaard betekent voor deze landen dubbele boekhouding en toename van de administratieve lasten. Ten derde zijn de gebruikers van de financiële verslagen van belang. Vermoed kan worden dat landen met een insidersysteem de IFRS for SMEs niet willen toepassen aangezien zij geen behoefte hebben aan externe verslaggeving. Daarentegen kan worden vermoed dat landen met een outsidersysteem de standaard wel willen invoeren aangezien een externe verslaggeving op basis van professionele oordeelvorming noodzakelijk is voor vermogensverschaffers, die niet tot de interne gegevens van de onderneming kunnen komen. De laatste factor betreft de kosten- en batenanalyse waarin alle nadelen en voordelen van de IFRS for SMEs worden afgewogen om tot het besluit te komen met betrekking tot de invoering van de standaard, dat is uiteraard verschillend voor iedere land. Hierbij komt de ‘level playing field’ argument om de hoek kijken, waarbij de internationale concurrentiepositie een rol speelt.</w:t>
      </w:r>
    </w:p>
    <w:p w:rsidR="00374656" w:rsidRDefault="00374656" w:rsidP="001E23EF">
      <w:r>
        <w:t xml:space="preserve">In de praktijk zijn de in het theoretisch kader besproken effecten duidelijk waarneembaar. De perceptie van Europa ten aanzien van de invoering van standaard is onzeker en twijfelachtig. Uiteenlopende meningen resulteren uit verschillende onderzoeken. Dat Angelsaksische landen, waaronder het Verenigd Koninkrijk, en de Noord-Europese landen, waaronder Nederland, een positieve kijk hebben op de standaard komt overeen met de veronderstellingen in het Gray’s model. De voornaamste reden is dat bepalingen en regels van de nationale GAAP sterk overeenkomen met de bepalingen en regels van de IFRS for SMEs. Ook de veronderstelling dat Germaanse landen, waaronder Duitsland, en Romaanse landen, waaronder Frankrijk en Italië, een negatieve kijk hebben op de standaard komt overeen met de resultaten van de empirische onderzoeken. Slechts de veronderstelling dat Zweden de standaard wil invoeren, komt niet overeen met bepaalde onderzoeken. Naast de cultuur, beïnvloedt de sterkte van de link tussen de belastingregulering en verslaggeving de perceptie aanzienlijk. Zoals is opgemerkt, blijkt dat in landen, zoals Duitsland en Zweden, waar de link sterk aanwezig is, de IFRS for SMEs niet gewenst is vanwege de toenemende administratieve lasten en complexiteit. In deze landen is vaak sprake van een insidersysteem waar externe verslaggeving niet nodig is. Banken en belastingautoriteiten zijn meestal de belangrijkste gebruikers van de financiële verslagen in deze landen. In deze landen zijn de gebruikers niet positief over de invoering van de IFRS for SMEs omdat volgens hen geen behoefte is aan een verandering van de standaard, dat leidt slechts tot lasten en complexiteit. Deze nadelen worden meegenomen in de kosten- en batenanalyse. De voordelen zullen zich volgens Aarmir en Farooq (2010) pas voordoen op lange termijn en slechts voor medium-sized ondernemingen kunnen deze voordelen de initiële kosten dekken. Daarom zullen de Zweedse SMEs op basis van de kosten- en batenanalyse de IFRS for SMEs niet invoeren. </w:t>
      </w:r>
    </w:p>
    <w:p w:rsidR="00374656" w:rsidRDefault="00374656" w:rsidP="001E23EF">
      <w:r>
        <w:t xml:space="preserve">Naast de vier factoren cultuur, belastingregulering, de gebruikers van de financiële verslagen en de kosten- en batenanalyse, draagt de factor “ hoeveelheid kennis van de IFRS for SMEs” ook bij aan het verschil in de bereidheid tot de invoering van de standaard. Gebleken is dat veel Europese SMEs onvoldoende kennis beschikken van de IFRS for SMEs. Aangezien is gebleken dat de Europese landen voorstanders zijn van een gemeenschappelijke set verslaggevingstandaarden, dienen de IASB en de nationale verslaggevingregelgevers de SMEs meer te informeren over de IFRS for SMEs. Er kan niet worden beoordeeld welke verslaggevingstandaard beter is totdat de desbetreffende standaard wordt ingevoerd. De tijd zal daarom laten zien of de SMEs die de IFRS for SMES hebben ingevoerd, erop vooruit gaan. Dit zou de percepties van de Europese landen, die beïnvloed worden door de verschillende factoren, kunnen veranderen. Dit zou een suggestie kunnen zijn voor een verder onderzoek. </w:t>
      </w:r>
    </w:p>
    <w:p w:rsidR="00374656" w:rsidRDefault="00374656" w:rsidP="001E23EF"/>
    <w:p w:rsidR="00374656" w:rsidRDefault="00374656" w:rsidP="001E23EF">
      <w:pPr>
        <w:spacing w:line="276" w:lineRule="auto"/>
        <w:jc w:val="left"/>
      </w:pPr>
      <w:r>
        <w:br w:type="page"/>
      </w:r>
    </w:p>
    <w:p w:rsidR="00374656" w:rsidRDefault="00374656" w:rsidP="001E23EF">
      <w:pPr>
        <w:pStyle w:val="Heading1"/>
      </w:pPr>
      <w:bookmarkStart w:id="68" w:name="_Toc296778039"/>
      <w:r>
        <w:t>Literatuur</w:t>
      </w:r>
      <w:bookmarkEnd w:id="68"/>
    </w:p>
    <w:p w:rsidR="00374656" w:rsidRDefault="00374656" w:rsidP="001E23EF">
      <w:pPr>
        <w:rPr>
          <w:color w:val="000000"/>
        </w:rPr>
      </w:pPr>
    </w:p>
    <w:p w:rsidR="00374656" w:rsidRDefault="00374656" w:rsidP="001E23EF">
      <w:pPr>
        <w:jc w:val="left"/>
        <w:rPr>
          <w:lang w:val="en-US"/>
        </w:rPr>
      </w:pPr>
      <w:r>
        <w:rPr>
          <w:color w:val="000000"/>
        </w:rPr>
        <w:t xml:space="preserve">Aamir, S., &amp; Farooq, U. (2010). </w:t>
      </w:r>
      <w:r>
        <w:rPr>
          <w:i/>
          <w:iCs/>
          <w:color w:val="000000"/>
          <w:lang w:val="en-US"/>
        </w:rPr>
        <w:t>Assessing the preparedness of SMEs in Sweden to adopt IFRS for SMEs</w:t>
      </w:r>
      <w:r>
        <w:rPr>
          <w:color w:val="000000"/>
          <w:lang w:val="en-US"/>
        </w:rPr>
        <w:t>. Master thesis</w:t>
      </w:r>
      <w:r>
        <w:rPr>
          <w:b/>
          <w:bCs/>
          <w:lang w:val="en-US"/>
        </w:rPr>
        <w:t xml:space="preserve"> </w:t>
      </w:r>
      <w:r>
        <w:rPr>
          <w:lang w:val="en-US"/>
        </w:rPr>
        <w:t>Umeå School of Business, Umeå University; zie: http://umu.diva-portal.org/smash/record.jsf?pid=diva2:326064.</w:t>
      </w:r>
    </w:p>
    <w:p w:rsidR="00374656" w:rsidRDefault="00374656" w:rsidP="001E23EF">
      <w:pPr>
        <w:jc w:val="left"/>
        <w:rPr>
          <w:color w:val="000000"/>
          <w:lang w:val="en-US"/>
        </w:rPr>
      </w:pPr>
      <w:r>
        <w:rPr>
          <w:color w:val="000000"/>
          <w:lang w:val="en-US"/>
        </w:rPr>
        <w:t xml:space="preserve">ACCA (2009). </w:t>
      </w:r>
      <w:r>
        <w:rPr>
          <w:i/>
          <w:iCs/>
          <w:color w:val="000000"/>
          <w:lang w:val="en-US"/>
        </w:rPr>
        <w:t>IFRS for SMEs: review of field testing results carried out by ACCA in UK in early 2008</w:t>
      </w:r>
      <w:r>
        <w:rPr>
          <w:color w:val="000000"/>
          <w:lang w:val="en-US"/>
        </w:rPr>
        <w:t xml:space="preserve">, Association of Chartered Certified Accountants; zie: http://www2.accaglobal.com/pubs/general/activities/library/financial_reporting/other/tech-tp-sftmain.pdf . </w:t>
      </w:r>
    </w:p>
    <w:p w:rsidR="00374656" w:rsidRDefault="00374656" w:rsidP="001E23EF">
      <w:pPr>
        <w:autoSpaceDE w:val="0"/>
        <w:autoSpaceDN w:val="0"/>
        <w:adjustRightInd w:val="0"/>
        <w:jc w:val="left"/>
        <w:rPr>
          <w:color w:val="000000"/>
          <w:lang w:val="en-US"/>
        </w:rPr>
      </w:pPr>
      <w:r>
        <w:rPr>
          <w:lang w:val="fr-FR"/>
        </w:rPr>
        <w:t xml:space="preserve">Baldarelli, M. G., Demartini, P., Mošnja-Škare, L. </w:t>
      </w:r>
      <w:r>
        <w:rPr>
          <w:lang w:val="en-US"/>
        </w:rPr>
        <w:t xml:space="preserve">(2007). </w:t>
      </w:r>
      <w:r>
        <w:rPr>
          <w:i/>
          <w:iCs/>
          <w:lang w:val="en-US"/>
        </w:rPr>
        <w:t xml:space="preserve">International Accounting Standards for SMEs: Empirical Evidences from SMEs in a Country in Transition and a Developed Country Facing New Challenges. </w:t>
      </w:r>
      <w:r>
        <w:rPr>
          <w:lang w:val="en-US"/>
        </w:rPr>
        <w:t xml:space="preserve">“Juraj dobrila” University of Pula; </w:t>
      </w:r>
      <w:r>
        <w:rPr>
          <w:color w:val="000000"/>
          <w:lang w:val="en-US"/>
        </w:rPr>
        <w:t>zie: http://www.efpu.hr/uploads/media/IFRS_for_SMEs_in_Italy_and_Croatia_01.pdf</w:t>
      </w:r>
    </w:p>
    <w:p w:rsidR="00374656" w:rsidRDefault="00374656" w:rsidP="001E23EF">
      <w:pPr>
        <w:jc w:val="left"/>
        <w:rPr>
          <w:color w:val="000000"/>
          <w:lang w:val="en-US"/>
        </w:rPr>
      </w:pPr>
      <w:r>
        <w:rPr>
          <w:color w:val="000000"/>
          <w:lang w:val="en-US"/>
        </w:rPr>
        <w:t xml:space="preserve">Beattie, E. (2009). Death exaggerated, does the ASB’s intention to adopt IFRS for SMEs signal the end of UK GAAP, or could this be a new beginning? </w:t>
      </w:r>
      <w:r>
        <w:rPr>
          <w:i/>
          <w:iCs/>
          <w:color w:val="000000"/>
          <w:lang w:val="en-US"/>
        </w:rPr>
        <w:t>Accountancy, 144</w:t>
      </w:r>
      <w:r>
        <w:rPr>
          <w:color w:val="000000"/>
          <w:lang w:val="en-US"/>
        </w:rPr>
        <w:t xml:space="preserve">(1393), 12. </w:t>
      </w:r>
    </w:p>
    <w:p w:rsidR="00374656" w:rsidRDefault="00374656" w:rsidP="001E23EF">
      <w:pPr>
        <w:autoSpaceDE w:val="0"/>
        <w:autoSpaceDN w:val="0"/>
        <w:adjustRightInd w:val="0"/>
        <w:jc w:val="left"/>
        <w:rPr>
          <w:color w:val="000000"/>
          <w:lang w:val="en-US"/>
        </w:rPr>
      </w:pPr>
      <w:r>
        <w:rPr>
          <w:lang w:val="en-US"/>
        </w:rPr>
        <w:t>Bryer, R.A. (2004). Chapter 5: Explaining international differences in accounting: culture or capital markets? Ludwig Erhard Lecture.</w:t>
      </w:r>
    </w:p>
    <w:p w:rsidR="00374656" w:rsidRDefault="00374656" w:rsidP="001E23EF">
      <w:pPr>
        <w:autoSpaceDE w:val="0"/>
        <w:autoSpaceDN w:val="0"/>
        <w:adjustRightInd w:val="0"/>
        <w:jc w:val="left"/>
        <w:rPr>
          <w:color w:val="000000"/>
          <w:lang w:val="fr-FR"/>
        </w:rPr>
      </w:pPr>
      <w:r>
        <w:rPr>
          <w:color w:val="000000"/>
          <w:lang w:val="en-US"/>
        </w:rPr>
        <w:t xml:space="preserve">CNC, (2008). </w:t>
      </w:r>
      <w:r>
        <w:rPr>
          <w:i/>
          <w:iCs/>
          <w:color w:val="000000"/>
          <w:lang w:val="en-US"/>
        </w:rPr>
        <w:t>IFRS for SMEs: survey of the expectations and needs of SMEs including field tests</w:t>
      </w:r>
      <w:r>
        <w:rPr>
          <w:color w:val="000000"/>
          <w:lang w:val="en-US"/>
        </w:rPr>
        <w:t xml:space="preserve">. </w:t>
      </w:r>
      <w:r>
        <w:rPr>
          <w:color w:val="000000"/>
          <w:lang w:val="fr-FR"/>
        </w:rPr>
        <w:t>Conseil National de la Comptabilité; zie:  http://www.minefe.gouv.fr/directions_services/CNCompta/rapports_etudes/projet_ifrs-pme_iasb_ang.pdf.</w:t>
      </w:r>
    </w:p>
    <w:p w:rsidR="00374656" w:rsidRDefault="00374656" w:rsidP="001E23EF">
      <w:pPr>
        <w:jc w:val="left"/>
        <w:rPr>
          <w:color w:val="000000"/>
          <w:lang w:val="en-US"/>
        </w:rPr>
      </w:pPr>
      <w:r>
        <w:rPr>
          <w:color w:val="000000"/>
          <w:lang w:val="en-US"/>
        </w:rPr>
        <w:t xml:space="preserve">Deegan, C., &amp; Unerman, J. (2006). </w:t>
      </w:r>
      <w:r>
        <w:rPr>
          <w:i/>
          <w:iCs/>
          <w:color w:val="000000"/>
          <w:lang w:val="en-US"/>
        </w:rPr>
        <w:t>Financial Accounting Theory</w:t>
      </w:r>
      <w:r>
        <w:rPr>
          <w:color w:val="000000"/>
          <w:lang w:val="en-US"/>
        </w:rPr>
        <w:t>. New York: McGraw-Hill Education.</w:t>
      </w:r>
    </w:p>
    <w:p w:rsidR="00374656" w:rsidRDefault="00374656" w:rsidP="001E23EF">
      <w:pPr>
        <w:autoSpaceDE w:val="0"/>
        <w:autoSpaceDN w:val="0"/>
        <w:adjustRightInd w:val="0"/>
        <w:jc w:val="left"/>
        <w:rPr>
          <w:color w:val="000000"/>
          <w:lang w:val="en-US"/>
        </w:rPr>
      </w:pPr>
      <w:r w:rsidRPr="002606FB">
        <w:rPr>
          <w:color w:val="000000"/>
          <w:lang w:val="en-US"/>
        </w:rPr>
        <w:t xml:space="preserve">Eierle, B., &amp; Haller, A. (2007). </w:t>
      </w:r>
      <w:r>
        <w:rPr>
          <w:color w:val="000000"/>
          <w:lang w:val="en-US"/>
        </w:rPr>
        <w:t xml:space="preserve">Final report of the survey on the ED-IFRS for SMEs among the German SMEs; zie: http://www.standardsetter.de/drsc/docs/press_releases/071129FinalReport_SME.pdf. </w:t>
      </w:r>
    </w:p>
    <w:p w:rsidR="00374656" w:rsidRDefault="00374656" w:rsidP="001E23EF">
      <w:pPr>
        <w:autoSpaceDE w:val="0"/>
        <w:autoSpaceDN w:val="0"/>
        <w:adjustRightInd w:val="0"/>
        <w:jc w:val="left"/>
        <w:rPr>
          <w:color w:val="000000"/>
          <w:lang w:val="en-US"/>
        </w:rPr>
      </w:pPr>
      <w:r>
        <w:rPr>
          <w:color w:val="000000"/>
          <w:lang w:val="en-US"/>
        </w:rPr>
        <w:t>Ernst &amp; Young (2009). Talking SMEs.</w:t>
      </w:r>
    </w:p>
    <w:p w:rsidR="00374656" w:rsidRDefault="00374656" w:rsidP="001E23EF">
      <w:pPr>
        <w:jc w:val="left"/>
        <w:rPr>
          <w:lang w:val="en-US"/>
        </w:rPr>
      </w:pPr>
      <w:r>
        <w:rPr>
          <w:color w:val="000000"/>
          <w:lang w:val="en-US"/>
        </w:rPr>
        <w:t xml:space="preserve">European Commission (2010). </w:t>
      </w:r>
      <w:r>
        <w:rPr>
          <w:i/>
          <w:iCs/>
          <w:lang w:val="en-US"/>
        </w:rPr>
        <w:t>Summary report of the responses received to the Commission's consultation on the international financial reporting standard for small and medium-sized entities</w:t>
      </w:r>
      <w:r>
        <w:rPr>
          <w:lang w:val="en-US"/>
        </w:rPr>
        <w:t>; zie: http://ec.europa.eu/internal_market/accounting/docs/ifrs/2010-05-31_ifrs_sme_consultation_summary_en.pdf.</w:t>
      </w:r>
    </w:p>
    <w:p w:rsidR="00374656" w:rsidRDefault="00374656" w:rsidP="001E23EF">
      <w:pPr>
        <w:autoSpaceDE w:val="0"/>
        <w:autoSpaceDN w:val="0"/>
        <w:adjustRightInd w:val="0"/>
        <w:jc w:val="left"/>
        <w:rPr>
          <w:color w:val="000000"/>
          <w:lang w:val="en-US"/>
        </w:rPr>
      </w:pPr>
      <w:r w:rsidRPr="002606FB">
        <w:rPr>
          <w:color w:val="000000"/>
          <w:lang w:val="en-US"/>
        </w:rPr>
        <w:t xml:space="preserve">Fechner, H., &amp; Kilgore, A. (1994). </w:t>
      </w:r>
      <w:r>
        <w:rPr>
          <w:color w:val="000000"/>
          <w:lang w:val="en-US"/>
        </w:rPr>
        <w:t xml:space="preserve">The influence of cultural factors on accounting practice. </w:t>
      </w:r>
      <w:r>
        <w:rPr>
          <w:i/>
          <w:iCs/>
          <w:color w:val="000000"/>
          <w:lang w:val="en-US"/>
        </w:rPr>
        <w:t>The International Journal of Accounting</w:t>
      </w:r>
      <w:r>
        <w:rPr>
          <w:i/>
          <w:iCs/>
          <w:lang w:val="en-US"/>
        </w:rPr>
        <w:t xml:space="preserve"> Education and Research, 29</w:t>
      </w:r>
      <w:r>
        <w:rPr>
          <w:lang w:val="en-US"/>
        </w:rPr>
        <w:t>(3), 265-277</w:t>
      </w:r>
      <w:r>
        <w:rPr>
          <w:rFonts w:ascii="Arial" w:hAnsi="Arial" w:cs="Arial"/>
          <w:lang w:val="en-US"/>
        </w:rPr>
        <w:t>.</w:t>
      </w:r>
    </w:p>
    <w:p w:rsidR="00374656" w:rsidRDefault="00374656" w:rsidP="001E23EF">
      <w:pPr>
        <w:jc w:val="left"/>
        <w:rPr>
          <w:color w:val="000000"/>
          <w:lang w:val="en-US"/>
        </w:rPr>
      </w:pPr>
      <w:r>
        <w:rPr>
          <w:color w:val="000000"/>
          <w:lang w:val="en-US"/>
        </w:rPr>
        <w:t xml:space="preserve">Forsberg, P. (2009). </w:t>
      </w:r>
      <w:r>
        <w:rPr>
          <w:i/>
          <w:iCs/>
          <w:color w:val="000000"/>
          <w:lang w:val="en-US"/>
        </w:rPr>
        <w:t>IFRS standards and non-listed companies</w:t>
      </w:r>
      <w:r>
        <w:rPr>
          <w:color w:val="000000"/>
          <w:lang w:val="en-US"/>
        </w:rPr>
        <w:t>. Working paper.</w:t>
      </w:r>
      <w:r>
        <w:rPr>
          <w:rFonts w:ascii="TimesNewRomanPS-BoldMT" w:hAnsi="TimesNewRomanPS-BoldMT" w:cs="TimesNewRomanPS-BoldMT"/>
          <w:b/>
          <w:bCs/>
          <w:lang w:val="en-US"/>
        </w:rPr>
        <w:t xml:space="preserve"> </w:t>
      </w:r>
      <w:r>
        <w:rPr>
          <w:lang w:val="en-US"/>
        </w:rPr>
        <w:t>University of Borås, Sweden</w:t>
      </w:r>
      <w:r>
        <w:rPr>
          <w:color w:val="000000"/>
          <w:lang w:val="en-US"/>
        </w:rPr>
        <w:t>; zie: http://www.liv.ac.uk/managementschool/ethnography_conference/papers2009/Forsberg.pdf.</w:t>
      </w:r>
    </w:p>
    <w:p w:rsidR="00374656" w:rsidRDefault="00374656" w:rsidP="001E23EF">
      <w:pPr>
        <w:autoSpaceDE w:val="0"/>
        <w:autoSpaceDN w:val="0"/>
        <w:adjustRightInd w:val="0"/>
        <w:jc w:val="left"/>
        <w:rPr>
          <w:lang w:val="en-US"/>
        </w:rPr>
      </w:pPr>
      <w:r>
        <w:rPr>
          <w:color w:val="000000"/>
          <w:lang w:val="en-US"/>
        </w:rPr>
        <w:t xml:space="preserve">Füllbier, R., &amp; Gassen, J. (2010). </w:t>
      </w:r>
      <w:r>
        <w:rPr>
          <w:i/>
          <w:iCs/>
          <w:color w:val="000000"/>
          <w:lang w:val="en-US"/>
        </w:rPr>
        <w:t>IFRS for European small and medium-sized entities? A theoretical and empirical analysis. A theoretical and empirical analysis</w:t>
      </w:r>
      <w:r>
        <w:rPr>
          <w:color w:val="000000"/>
          <w:lang w:val="en-US"/>
        </w:rPr>
        <w:t xml:space="preserve">. Research report, </w:t>
      </w:r>
      <w:r>
        <w:rPr>
          <w:lang w:val="en-US"/>
        </w:rPr>
        <w:t>commissioned by DGRV - Deutscher Genossenschafts- und Raiffeisenverband e. V.; zie: http://www.dgrv.de/weben.nsf/272e312c8017e736c1256e31005cedff/ef86f4c57e665446c125773c002b4ed3/$FILE/DGRV_IFRS_SME_Summary.pdf.</w:t>
      </w:r>
    </w:p>
    <w:p w:rsidR="00374656" w:rsidRPr="002606FB" w:rsidRDefault="00374656" w:rsidP="001E23EF">
      <w:pPr>
        <w:jc w:val="left"/>
        <w:rPr>
          <w:color w:val="000000"/>
          <w:lang w:val="en-US"/>
        </w:rPr>
      </w:pPr>
      <w:r>
        <w:rPr>
          <w:color w:val="000000"/>
          <w:lang w:val="en-US"/>
        </w:rPr>
        <w:t xml:space="preserve">Göransson, W. (2008). The pain versus the gain… </w:t>
      </w:r>
      <w:r>
        <w:rPr>
          <w:lang w:val="en-US"/>
        </w:rPr>
        <w:t xml:space="preserve">A qualitative study on the proposed IFRS for SMEs whether it would be suitable for companies in Sweden. </w:t>
      </w:r>
      <w:r w:rsidRPr="002606FB">
        <w:rPr>
          <w:lang w:val="en-US"/>
        </w:rPr>
        <w:t>University essay from Umeå universitet; zie: http://www.essays.se/essay/6b51d63bd5/.</w:t>
      </w:r>
    </w:p>
    <w:p w:rsidR="00374656" w:rsidRDefault="00374656" w:rsidP="001E23EF">
      <w:pPr>
        <w:autoSpaceDE w:val="0"/>
        <w:autoSpaceDN w:val="0"/>
        <w:adjustRightInd w:val="0"/>
        <w:jc w:val="left"/>
        <w:rPr>
          <w:color w:val="000000"/>
          <w:lang w:val="en-US"/>
        </w:rPr>
      </w:pPr>
      <w:r w:rsidRPr="002606FB">
        <w:rPr>
          <w:color w:val="000000"/>
          <w:lang w:val="en-US"/>
        </w:rPr>
        <w:t xml:space="preserve">Guenther, N., Gegenfurtner, B., Kaserer, C., &amp; Achleitner, A-K. </w:t>
      </w:r>
      <w:r>
        <w:rPr>
          <w:color w:val="000000"/>
          <w:lang w:val="en-US"/>
        </w:rPr>
        <w:t xml:space="preserve">(2009), </w:t>
      </w:r>
      <w:r>
        <w:rPr>
          <w:i/>
          <w:iCs/>
          <w:color w:val="000000"/>
          <w:lang w:val="en-US"/>
        </w:rPr>
        <w:t>Drivers of earnings quality in a bank-based economy- Evidence from voluntary vs. mandatory IFRS adoption in Germany</w:t>
      </w:r>
      <w:r>
        <w:rPr>
          <w:color w:val="000000"/>
          <w:lang w:val="en-US"/>
        </w:rPr>
        <w:t>. Working paper; zie: http://www.arw-suisse.ch/papers_tagung09/Guenther_Gegenfurtner_Achleitner_Kaserer@Drivers_Of.pdf</w:t>
      </w:r>
    </w:p>
    <w:p w:rsidR="00374656" w:rsidRDefault="00374656" w:rsidP="001E23EF">
      <w:pPr>
        <w:autoSpaceDE w:val="0"/>
        <w:autoSpaceDN w:val="0"/>
        <w:adjustRightInd w:val="0"/>
        <w:jc w:val="left"/>
        <w:rPr>
          <w:color w:val="000000"/>
          <w:lang w:val="en-US"/>
        </w:rPr>
      </w:pPr>
      <w:r>
        <w:rPr>
          <w:color w:val="000000"/>
          <w:lang w:val="en-US"/>
        </w:rPr>
        <w:t xml:space="preserve">IASC (1998). ‘Shaping IASC for the future’, London: International Accounting Standards Committee. </w:t>
      </w:r>
    </w:p>
    <w:p w:rsidR="00374656" w:rsidRDefault="00374656" w:rsidP="001E23EF">
      <w:pPr>
        <w:jc w:val="left"/>
        <w:rPr>
          <w:color w:val="000000"/>
          <w:lang w:val="en-US"/>
        </w:rPr>
      </w:pPr>
      <w:r>
        <w:rPr>
          <w:color w:val="000000"/>
          <w:lang w:val="en-US"/>
        </w:rPr>
        <w:t>IASB (2007). Exposure draft of a proposed IFRS for Small and Medium-sized Entities. www.iasb.org.</w:t>
      </w:r>
    </w:p>
    <w:p w:rsidR="00374656" w:rsidRDefault="00374656" w:rsidP="001E23EF">
      <w:pPr>
        <w:jc w:val="left"/>
        <w:rPr>
          <w:color w:val="000000"/>
          <w:lang w:val="en-US"/>
        </w:rPr>
      </w:pPr>
      <w:r>
        <w:rPr>
          <w:color w:val="000000"/>
          <w:lang w:val="en-US"/>
        </w:rPr>
        <w:t>IASB (2009). IFRS for SMEs. International Financial Reporting Standard (IFRS) for Small and Medium-sized Entities (SMEs), IASB; www.iasb.org.</w:t>
      </w:r>
    </w:p>
    <w:p w:rsidR="00374656" w:rsidRDefault="00374656" w:rsidP="001E23EF">
      <w:pPr>
        <w:autoSpaceDE w:val="0"/>
        <w:autoSpaceDN w:val="0"/>
        <w:adjustRightInd w:val="0"/>
        <w:jc w:val="left"/>
        <w:rPr>
          <w:color w:val="000000"/>
        </w:rPr>
      </w:pPr>
      <w:r>
        <w:rPr>
          <w:color w:val="000000"/>
        </w:rPr>
        <w:t xml:space="preserve">Kamp, B. (2008). Samenval grondslagen voor aangifte en jaarrekening kleine ondernemingen. </w:t>
      </w:r>
      <w:r>
        <w:rPr>
          <w:i/>
          <w:iCs/>
          <w:color w:val="000000"/>
        </w:rPr>
        <w:t>Maandblad voor Accountancy en Bedrijfseconomie, 82(4</w:t>
      </w:r>
      <w:r>
        <w:rPr>
          <w:color w:val="000000"/>
        </w:rPr>
        <w:t>), 425-434.</w:t>
      </w:r>
    </w:p>
    <w:p w:rsidR="00374656" w:rsidRDefault="00374656" w:rsidP="001E23EF">
      <w:pPr>
        <w:autoSpaceDE w:val="0"/>
        <w:autoSpaceDN w:val="0"/>
        <w:adjustRightInd w:val="0"/>
        <w:jc w:val="left"/>
        <w:rPr>
          <w:color w:val="000000"/>
        </w:rPr>
      </w:pPr>
      <w:r>
        <w:rPr>
          <w:color w:val="000000"/>
        </w:rPr>
        <w:t xml:space="preserve">Kamp, B. (2010). Hoe bruikbaar is IFRS voor SME? </w:t>
      </w:r>
      <w:r>
        <w:rPr>
          <w:i/>
          <w:iCs/>
          <w:color w:val="000000"/>
        </w:rPr>
        <w:t>Tijdschrift Controlling</w:t>
      </w:r>
      <w:r>
        <w:rPr>
          <w:color w:val="000000"/>
        </w:rPr>
        <w:t>, 2010(1/2), 1-3</w:t>
      </w:r>
    </w:p>
    <w:p w:rsidR="00374656" w:rsidRDefault="00374656" w:rsidP="001E23EF">
      <w:pPr>
        <w:autoSpaceDE w:val="0"/>
        <w:autoSpaceDN w:val="0"/>
        <w:adjustRightInd w:val="0"/>
        <w:jc w:val="left"/>
        <w:rPr>
          <w:color w:val="000000"/>
        </w:rPr>
      </w:pPr>
      <w:r>
        <w:rPr>
          <w:color w:val="000000"/>
        </w:rPr>
        <w:t xml:space="preserve">Kamp, B. (2011). De invloed van cultuur op de acceptatie van IFRS for SMEs. </w:t>
      </w:r>
      <w:r>
        <w:rPr>
          <w:i/>
          <w:iCs/>
          <w:color w:val="000000"/>
        </w:rPr>
        <w:t>Maandblad voor Accountancy en Bedrijfseconomie, 85</w:t>
      </w:r>
      <w:r>
        <w:rPr>
          <w:color w:val="000000"/>
        </w:rPr>
        <w:t>(4), 198-206.</w:t>
      </w:r>
    </w:p>
    <w:p w:rsidR="00374656" w:rsidRDefault="00374656" w:rsidP="001E23EF">
      <w:pPr>
        <w:autoSpaceDE w:val="0"/>
        <w:autoSpaceDN w:val="0"/>
        <w:adjustRightInd w:val="0"/>
        <w:jc w:val="left"/>
        <w:rPr>
          <w:i/>
          <w:iCs/>
          <w:color w:val="000000"/>
          <w:lang w:val="en-US"/>
        </w:rPr>
      </w:pPr>
      <w:r>
        <w:rPr>
          <w:color w:val="000000"/>
        </w:rPr>
        <w:t xml:space="preserve">Kimpe, M. de, &amp; Manschot, D. (2009). IFRS SME toepasbaar in Nederland? </w:t>
      </w:r>
      <w:r>
        <w:rPr>
          <w:i/>
          <w:iCs/>
          <w:color w:val="000000"/>
          <w:lang w:val="en-US"/>
        </w:rPr>
        <w:t>De Accountant, November</w:t>
      </w:r>
      <w:r>
        <w:rPr>
          <w:color w:val="000000"/>
          <w:lang w:val="en-US"/>
        </w:rPr>
        <w:t>,</w:t>
      </w:r>
      <w:r>
        <w:rPr>
          <w:i/>
          <w:iCs/>
          <w:color w:val="000000"/>
          <w:lang w:val="en-US"/>
        </w:rPr>
        <w:t xml:space="preserve"> </w:t>
      </w:r>
      <w:r>
        <w:rPr>
          <w:color w:val="000000"/>
          <w:lang w:val="en-US"/>
        </w:rPr>
        <w:t>28-31</w:t>
      </w:r>
      <w:r>
        <w:rPr>
          <w:i/>
          <w:iCs/>
          <w:color w:val="000000"/>
          <w:lang w:val="en-US"/>
        </w:rPr>
        <w:t>.</w:t>
      </w:r>
    </w:p>
    <w:p w:rsidR="00374656" w:rsidRDefault="00374656" w:rsidP="001E23EF">
      <w:pPr>
        <w:jc w:val="left"/>
        <w:rPr>
          <w:color w:val="000000"/>
          <w:lang w:val="en-US"/>
        </w:rPr>
      </w:pPr>
      <w:r>
        <w:rPr>
          <w:color w:val="000000"/>
          <w:lang w:val="en-US"/>
        </w:rPr>
        <w:t xml:space="preserve">KPMG (2010). </w:t>
      </w:r>
      <w:r>
        <w:rPr>
          <w:i/>
          <w:iCs/>
          <w:color w:val="000000"/>
          <w:lang w:val="en-US"/>
        </w:rPr>
        <w:t>The IFRS for SMEs: Considering the alternatives</w:t>
      </w:r>
      <w:r>
        <w:rPr>
          <w:color w:val="000000"/>
          <w:lang w:val="en-US"/>
        </w:rPr>
        <w:t>; zie: http://www.kpmg.com/CN/en/IssuesAndInsights/ArticlesPublications/Documents/IFRS-for-SMEs-O-201001.pdf.</w:t>
      </w:r>
    </w:p>
    <w:p w:rsidR="00374656" w:rsidRDefault="00374656" w:rsidP="001E23EF">
      <w:pPr>
        <w:jc w:val="left"/>
        <w:rPr>
          <w:color w:val="000000"/>
          <w:lang w:val="en-US"/>
        </w:rPr>
      </w:pPr>
      <w:r>
        <w:rPr>
          <w:color w:val="000000"/>
          <w:lang w:val="en-US"/>
        </w:rPr>
        <w:t xml:space="preserve">Mazars (2008).  </w:t>
      </w:r>
      <w:r>
        <w:rPr>
          <w:i/>
          <w:iCs/>
          <w:color w:val="000000"/>
          <w:lang w:val="en-US"/>
        </w:rPr>
        <w:t>The IFRS for SMEs accounting standard: perceptions and expectations across Europe</w:t>
      </w:r>
      <w:r>
        <w:rPr>
          <w:color w:val="000000"/>
          <w:lang w:val="en-US"/>
        </w:rPr>
        <w:t>. Mazars Survey; zie: http://www.mazars.co.th/Home/News/Our-publications/Surveys/The-IFRS-for-SMEs-accounting-standard.</w:t>
      </w:r>
    </w:p>
    <w:p w:rsidR="00374656" w:rsidRDefault="00374656" w:rsidP="001E23EF">
      <w:pPr>
        <w:jc w:val="left"/>
        <w:rPr>
          <w:color w:val="000000"/>
          <w:lang w:val="en-US"/>
        </w:rPr>
      </w:pPr>
      <w:r>
        <w:rPr>
          <w:color w:val="000000"/>
          <w:lang w:val="en-US"/>
        </w:rPr>
        <w:t xml:space="preserve">Mackenzie, B. (2010). </w:t>
      </w:r>
      <w:r>
        <w:rPr>
          <w:i/>
          <w:iCs/>
          <w:color w:val="000000"/>
          <w:lang w:val="en-US"/>
        </w:rPr>
        <w:t>Applying IFRS for SMEs</w:t>
      </w:r>
      <w:r>
        <w:rPr>
          <w:color w:val="000000"/>
          <w:lang w:val="en-US"/>
        </w:rPr>
        <w:t>. United States: Wiley.</w:t>
      </w:r>
    </w:p>
    <w:p w:rsidR="00374656" w:rsidRDefault="00374656" w:rsidP="001E23EF">
      <w:pPr>
        <w:jc w:val="left"/>
        <w:rPr>
          <w:color w:val="000000"/>
        </w:rPr>
      </w:pPr>
      <w:r>
        <w:rPr>
          <w:color w:val="000000"/>
          <w:lang w:val="en-US"/>
        </w:rPr>
        <w:t xml:space="preserve">Newton, D. (2006). </w:t>
      </w:r>
      <w:r>
        <w:rPr>
          <w:i/>
          <w:iCs/>
          <w:color w:val="000000"/>
          <w:lang w:val="en-US"/>
        </w:rPr>
        <w:t>IFRS: tax implications for the EU financial services industry- are you ready?</w:t>
      </w:r>
      <w:r>
        <w:rPr>
          <w:color w:val="000000"/>
          <w:lang w:val="en-US"/>
        </w:rPr>
        <w:t xml:space="preserve"> </w:t>
      </w:r>
      <w:r>
        <w:rPr>
          <w:color w:val="000000"/>
        </w:rPr>
        <w:t>PWC; zie: http://www.pwc.com/en_LU/lu/ifrs/docs/pwc-ifrs-taximplications-eu.pdf.</w:t>
      </w:r>
    </w:p>
    <w:p w:rsidR="00374656" w:rsidRDefault="00374656" w:rsidP="001E23EF">
      <w:pPr>
        <w:pStyle w:val="BodyText"/>
        <w:rPr>
          <w:sz w:val="22"/>
          <w:szCs w:val="22"/>
        </w:rPr>
      </w:pPr>
      <w:r>
        <w:rPr>
          <w:sz w:val="22"/>
          <w:szCs w:val="22"/>
        </w:rPr>
        <w:t xml:space="preserve">Nobes, C., &amp; Parker, R. (2004). Comparative International Accounting, Harlow: Pearson Education Limited. </w:t>
      </w:r>
    </w:p>
    <w:p w:rsidR="00374656" w:rsidRDefault="00374656" w:rsidP="001E23EF">
      <w:pPr>
        <w:pStyle w:val="BodyText"/>
        <w:rPr>
          <w:sz w:val="22"/>
          <w:szCs w:val="22"/>
        </w:rPr>
      </w:pPr>
    </w:p>
    <w:p w:rsidR="00374656" w:rsidRDefault="00374656" w:rsidP="001E23EF">
      <w:pPr>
        <w:jc w:val="left"/>
        <w:rPr>
          <w:color w:val="000000"/>
        </w:rPr>
      </w:pPr>
      <w:r>
        <w:rPr>
          <w:color w:val="000000"/>
          <w:lang w:val="en-US"/>
        </w:rPr>
        <w:t xml:space="preserve">O’Keeffe, I. (2010). </w:t>
      </w:r>
      <w:r>
        <w:rPr>
          <w:i/>
          <w:iCs/>
          <w:color w:val="000000"/>
          <w:lang w:val="en-US"/>
        </w:rPr>
        <w:t xml:space="preserve">Are you ready for the end of Irish GAAP? </w:t>
      </w:r>
      <w:r>
        <w:rPr>
          <w:color w:val="000000"/>
        </w:rPr>
        <w:t>PWC; zie: http://download.pwc.com/ie/pubs/irene_okeeffe_point_of_view.pdf.</w:t>
      </w:r>
    </w:p>
    <w:p w:rsidR="00374656" w:rsidRDefault="00374656" w:rsidP="001E23EF">
      <w:pPr>
        <w:jc w:val="left"/>
        <w:rPr>
          <w:color w:val="000000"/>
          <w:lang w:val="en-US"/>
        </w:rPr>
      </w:pPr>
      <w:r>
        <w:rPr>
          <w:color w:val="000000"/>
          <w:lang w:val="en-US"/>
        </w:rPr>
        <w:t xml:space="preserve">Perera, H. (1989). Towards a framework to analyze the impact of culture on accounting. </w:t>
      </w:r>
      <w:r>
        <w:rPr>
          <w:i/>
          <w:iCs/>
          <w:color w:val="000000"/>
          <w:lang w:val="en-US"/>
        </w:rPr>
        <w:t>The International Journal of Accounting, 24</w:t>
      </w:r>
      <w:r>
        <w:rPr>
          <w:color w:val="000000"/>
          <w:lang w:val="en-US"/>
        </w:rPr>
        <w:t>, 42-56.</w:t>
      </w:r>
    </w:p>
    <w:p w:rsidR="00374656" w:rsidRDefault="00374656" w:rsidP="001E23EF">
      <w:pPr>
        <w:jc w:val="left"/>
        <w:rPr>
          <w:color w:val="000000"/>
          <w:lang w:val="en-US"/>
        </w:rPr>
      </w:pPr>
      <w:r>
        <w:rPr>
          <w:color w:val="000000"/>
          <w:lang w:val="en-US"/>
        </w:rPr>
        <w:t xml:space="preserve">PWC (2010). </w:t>
      </w:r>
      <w:r>
        <w:rPr>
          <w:i/>
          <w:iCs/>
          <w:color w:val="000000"/>
          <w:lang w:val="en-US"/>
        </w:rPr>
        <w:t>IFRS adoption by country</w:t>
      </w:r>
      <w:r>
        <w:rPr>
          <w:color w:val="000000"/>
          <w:lang w:val="en-US"/>
        </w:rPr>
        <w:t>; zie: http://www.pwc.com/us/en/issues/ifrs-reporting/country-adoption.</w:t>
      </w:r>
    </w:p>
    <w:p w:rsidR="00374656" w:rsidRDefault="00374656" w:rsidP="001E23EF">
      <w:pPr>
        <w:jc w:val="left"/>
        <w:rPr>
          <w:lang w:val="en-US"/>
        </w:rPr>
      </w:pPr>
      <w:r>
        <w:rPr>
          <w:color w:val="000000"/>
          <w:lang w:val="en-US"/>
        </w:rPr>
        <w:t xml:space="preserve">Quagli, A. (2010). </w:t>
      </w:r>
      <w:r>
        <w:rPr>
          <w:i/>
          <w:iCs/>
          <w:color w:val="000000"/>
          <w:lang w:val="en-US"/>
        </w:rPr>
        <w:t>How is the IFRS for SME accepted in the European context? An analysis of the homogeneity among European countries, users and preparers in the European Commission Questionnaire</w:t>
      </w:r>
      <w:r>
        <w:rPr>
          <w:color w:val="000000"/>
          <w:lang w:val="en-US"/>
        </w:rPr>
        <w:t xml:space="preserve">, Working Papers Series – University of Genoa. </w:t>
      </w:r>
      <w:r>
        <w:rPr>
          <w:lang w:val="en-US"/>
        </w:rPr>
        <w:t>Available at SSRN: http://ssrn.com/abstract=1638884.</w:t>
      </w:r>
    </w:p>
    <w:p w:rsidR="00374656" w:rsidRDefault="00374656" w:rsidP="001E23EF">
      <w:pPr>
        <w:autoSpaceDE w:val="0"/>
        <w:autoSpaceDN w:val="0"/>
        <w:adjustRightInd w:val="0"/>
        <w:jc w:val="left"/>
        <w:rPr>
          <w:lang w:val="en-US"/>
        </w:rPr>
      </w:pPr>
      <w:r>
        <w:rPr>
          <w:lang w:val="en-US"/>
        </w:rPr>
        <w:t xml:space="preserve">Saudagaran, S.M., &amp; Meek, G.K. (1997), A review of research on the relationship between international capital markets and financial reporting by multinational firms, </w:t>
      </w:r>
      <w:r>
        <w:rPr>
          <w:i/>
          <w:iCs/>
          <w:lang w:val="en-US"/>
        </w:rPr>
        <w:t>Journal of Accounting Literature, 16</w:t>
      </w:r>
      <w:r>
        <w:rPr>
          <w:lang w:val="en-US"/>
        </w:rPr>
        <w:t>,</w:t>
      </w:r>
      <w:r>
        <w:rPr>
          <w:i/>
          <w:iCs/>
          <w:lang w:val="en-US"/>
        </w:rPr>
        <w:t xml:space="preserve"> </w:t>
      </w:r>
      <w:r>
        <w:rPr>
          <w:lang w:val="en-US"/>
        </w:rPr>
        <w:t>127-159.</w:t>
      </w:r>
    </w:p>
    <w:p w:rsidR="00374656" w:rsidRDefault="00374656" w:rsidP="001E23EF">
      <w:pPr>
        <w:autoSpaceDE w:val="0"/>
        <w:autoSpaceDN w:val="0"/>
        <w:adjustRightInd w:val="0"/>
        <w:jc w:val="left"/>
        <w:rPr>
          <w:lang w:val="en-US"/>
        </w:rPr>
      </w:pPr>
      <w:r>
        <w:rPr>
          <w:lang w:val="en-US"/>
        </w:rPr>
        <w:t xml:space="preserve">Sleigh-Johnson, N. en Shearer, B. (2009). Less is more. </w:t>
      </w:r>
      <w:r>
        <w:rPr>
          <w:i/>
          <w:iCs/>
          <w:lang w:val="en-US"/>
        </w:rPr>
        <w:t>Accountancy,144</w:t>
      </w:r>
      <w:r>
        <w:rPr>
          <w:lang w:val="en-US"/>
        </w:rPr>
        <w:t>(1395): 64-65.</w:t>
      </w:r>
    </w:p>
    <w:p w:rsidR="00374656" w:rsidRPr="002606FB" w:rsidRDefault="00374656" w:rsidP="001E23EF">
      <w:pPr>
        <w:jc w:val="left"/>
        <w:rPr>
          <w:color w:val="000000"/>
        </w:rPr>
      </w:pPr>
      <w:r>
        <w:rPr>
          <w:color w:val="000000"/>
          <w:lang w:val="en-US"/>
        </w:rPr>
        <w:t xml:space="preserve">Zarzeski, M. (1996). Spontaneous harmonization effects of culture and market forces on accounting disclosure practices. </w:t>
      </w:r>
      <w:r w:rsidRPr="002606FB">
        <w:rPr>
          <w:i/>
          <w:iCs/>
          <w:color w:val="000000"/>
        </w:rPr>
        <w:t>Accounting Horizons, 10</w:t>
      </w:r>
      <w:r w:rsidRPr="002606FB">
        <w:rPr>
          <w:color w:val="000000"/>
        </w:rPr>
        <w:t>(1), 18-37.</w:t>
      </w:r>
    </w:p>
    <w:p w:rsidR="00374656" w:rsidRPr="002606FB" w:rsidRDefault="00374656" w:rsidP="001E23EF">
      <w:pPr>
        <w:jc w:val="left"/>
        <w:rPr>
          <w:b/>
          <w:bCs/>
          <w:color w:val="000000"/>
        </w:rPr>
      </w:pPr>
    </w:p>
    <w:p w:rsidR="00374656" w:rsidRPr="002606FB" w:rsidRDefault="00374656" w:rsidP="001E23EF">
      <w:pPr>
        <w:jc w:val="left"/>
        <w:rPr>
          <w:b/>
          <w:bCs/>
          <w:color w:val="000000"/>
          <w:u w:val="single"/>
        </w:rPr>
      </w:pPr>
      <w:r w:rsidRPr="002606FB">
        <w:rPr>
          <w:b/>
          <w:bCs/>
          <w:color w:val="000000"/>
          <w:u w:val="single"/>
        </w:rPr>
        <w:t>Websites</w:t>
      </w:r>
    </w:p>
    <w:p w:rsidR="00374656" w:rsidRDefault="00374656" w:rsidP="001E23EF">
      <w:pPr>
        <w:autoSpaceDE w:val="0"/>
        <w:autoSpaceDN w:val="0"/>
        <w:adjustRightInd w:val="0"/>
        <w:jc w:val="left"/>
      </w:pPr>
      <w:r w:rsidRPr="002606FB">
        <w:t xml:space="preserve">EFRAG. “SME Accounting in Europe”. </w:t>
      </w:r>
      <w:hyperlink r:id="rId10" w:history="1">
        <w:r>
          <w:rPr>
            <w:rStyle w:val="Hyperlink"/>
          </w:rPr>
          <w:t>www.efrag.org</w:t>
        </w:r>
      </w:hyperlink>
      <w:r>
        <w:t xml:space="preserve">, bekeken op 1 juni. </w:t>
      </w:r>
    </w:p>
    <w:p w:rsidR="00374656" w:rsidRDefault="00374656" w:rsidP="001E23EF">
      <w:pPr>
        <w:autoSpaceDE w:val="0"/>
        <w:autoSpaceDN w:val="0"/>
        <w:adjustRightInd w:val="0"/>
        <w:jc w:val="left"/>
      </w:pPr>
      <w:r>
        <w:t xml:space="preserve">Ernst &amp; Young. “Horizontaal toezicht”. </w:t>
      </w:r>
      <w:hyperlink r:id="rId11" w:history="1">
        <w:r>
          <w:rPr>
            <w:rStyle w:val="Hyperlink"/>
          </w:rPr>
          <w:t>http://www.ey.com/NL/nl/Services/Tax/About-Tax/Horizontaal-toezicht_home</w:t>
        </w:r>
      </w:hyperlink>
      <w:r>
        <w:t>, bekeken op 13 juni.</w:t>
      </w:r>
    </w:p>
    <w:p w:rsidR="00374656" w:rsidRDefault="00374656" w:rsidP="001E23EF">
      <w:pPr>
        <w:autoSpaceDE w:val="0"/>
        <w:autoSpaceDN w:val="0"/>
        <w:adjustRightInd w:val="0"/>
        <w:jc w:val="left"/>
      </w:pPr>
      <w:r>
        <w:rPr>
          <w:lang w:val="en-US"/>
        </w:rPr>
        <w:t xml:space="preserve">Grant Thornton. “IFRS for SME”. </w:t>
      </w:r>
      <w:hyperlink r:id="rId12" w:history="1">
        <w:r>
          <w:rPr>
            <w:rStyle w:val="Hyperlink"/>
          </w:rPr>
          <w:t>http://www.gt.nl/nl/thema-s/ifrs/ifrs-for-sme/1930</w:t>
        </w:r>
      </w:hyperlink>
      <w:r>
        <w:t>, bekeken op 20 mei.</w:t>
      </w:r>
    </w:p>
    <w:p w:rsidR="00374656" w:rsidRDefault="00374656" w:rsidP="001E23EF">
      <w:pPr>
        <w:jc w:val="left"/>
      </w:pPr>
      <w:r>
        <w:rPr>
          <w:lang w:val="en-US"/>
        </w:rPr>
        <w:t xml:space="preserve">IFRS. “About IFRS and foundation”. </w:t>
      </w:r>
      <w:hyperlink r:id="rId13" w:history="1">
        <w:r>
          <w:rPr>
            <w:rStyle w:val="Hyperlink"/>
          </w:rPr>
          <w:t>http://www.ifrs.org/The+organisation/IASCF+and+IASB.htm</w:t>
        </w:r>
      </w:hyperlink>
      <w:r>
        <w:t xml:space="preserve">, bekeken op 7 mei 2011. </w:t>
      </w:r>
    </w:p>
    <w:p w:rsidR="00374656" w:rsidRDefault="00374656" w:rsidP="001E23EF">
      <w:pPr>
        <w:jc w:val="left"/>
      </w:pPr>
      <w:r w:rsidRPr="002606FB">
        <w:t xml:space="preserve">IFRS. “IFRS FAQs”. </w:t>
      </w:r>
      <w:hyperlink r:id="rId14" w:anchor="q3" w:history="1">
        <w:r>
          <w:rPr>
            <w:rStyle w:val="Hyperlink"/>
          </w:rPr>
          <w:t>http://www.ifrs.com/ifrs_faqs.html#q3</w:t>
        </w:r>
      </w:hyperlink>
      <w:r>
        <w:t>, bekeken op 7 mei 2011.</w:t>
      </w:r>
    </w:p>
    <w:p w:rsidR="00374656" w:rsidRDefault="00374656" w:rsidP="001E23EF">
      <w:pPr>
        <w:rPr>
          <w:u w:val="single"/>
        </w:rPr>
      </w:pPr>
    </w:p>
    <w:p w:rsidR="00374656" w:rsidRPr="001E23EF" w:rsidRDefault="00374656" w:rsidP="001E23EF">
      <w:pPr>
        <w:pStyle w:val="Heading1"/>
        <w:rPr>
          <w:u w:val="single"/>
          <w:lang w:val="en-US"/>
        </w:rPr>
      </w:pPr>
      <w:bookmarkStart w:id="69" w:name="_Toc296778040"/>
      <w:r>
        <w:rPr>
          <w:lang w:val="en-US"/>
        </w:rPr>
        <w:t>Bijlage A: IFRS for SMEs versus full-IFRS</w:t>
      </w:r>
      <w:bookmarkEnd w:id="69"/>
    </w:p>
    <w:p w:rsidR="00374656" w:rsidRDefault="00374656" w:rsidP="001E23EF">
      <w:pPr>
        <w:rPr>
          <w:lang w:val="en-US"/>
        </w:rPr>
      </w:pPr>
    </w:p>
    <w:p w:rsidR="00374656" w:rsidRPr="001E23EF" w:rsidRDefault="00374656" w:rsidP="001E23EF">
      <w:pPr>
        <w:rPr>
          <w:u w:val="single"/>
          <w:lang w:val="en-US"/>
        </w:rPr>
      </w:pPr>
      <w:r w:rsidRPr="001E23EF">
        <w:rPr>
          <w:u w:val="single"/>
          <w:lang w:val="en-US"/>
        </w:rPr>
        <w:t>Financiele verslagen</w:t>
      </w:r>
    </w:p>
    <w:p w:rsidR="00374656" w:rsidRDefault="00374656" w:rsidP="001E23EF">
      <w:pPr>
        <w:pStyle w:val="ListParagraph"/>
        <w:numPr>
          <w:ilvl w:val="0"/>
          <w:numId w:val="1"/>
        </w:numPr>
        <w:contextualSpacing w:val="0"/>
      </w:pPr>
      <w:r>
        <w:t>IFRS for SME: Een gecombineerd overzicht van de comprehensive income en de ingehouden winsten is toegestaan indien veranderingen in het eigen vermogen gedurende de periode zijn ontstaan door winst of verlies, de betaling van dividenden, de correctie van fouten van voorgaande perioden en/ of veranderingen in het verslaggevingbeleid.</w:t>
      </w:r>
    </w:p>
    <w:p w:rsidR="00374656" w:rsidRDefault="00374656" w:rsidP="001E23EF">
      <w:pPr>
        <w:pStyle w:val="ListParagraph"/>
        <w:numPr>
          <w:ilvl w:val="0"/>
          <w:numId w:val="1"/>
        </w:numPr>
        <w:contextualSpacing w:val="0"/>
      </w:pPr>
      <w:r>
        <w:t xml:space="preserve">Full-IFRS: een overzicht van veranderingen in het eigen vermogen is vereist. </w:t>
      </w:r>
    </w:p>
    <w:p w:rsidR="00374656" w:rsidRDefault="00374656" w:rsidP="001E23EF">
      <w:pPr>
        <w:rPr>
          <w:u w:val="single"/>
        </w:rPr>
      </w:pPr>
      <w:r>
        <w:rPr>
          <w:u w:val="single"/>
        </w:rPr>
        <w:t>Business combinations</w:t>
      </w:r>
    </w:p>
    <w:p w:rsidR="00374656" w:rsidRDefault="00374656" w:rsidP="001E23EF">
      <w:pPr>
        <w:pStyle w:val="ListParagraph"/>
        <w:numPr>
          <w:ilvl w:val="0"/>
          <w:numId w:val="1"/>
        </w:numPr>
        <w:contextualSpacing w:val="0"/>
      </w:pPr>
      <w:r>
        <w:t>IFRS for SME: de kosten van verkrijging zijn inclusief transactiekosten. Voorwaardelijke vergoedingen behoren tot de kosten van verkrijging als het waarschijnlijk is dat het bedrag zal worden betaald en indien de fair value op een betrouwbare manier kan worden gemeten.</w:t>
      </w:r>
    </w:p>
    <w:p w:rsidR="00374656" w:rsidRDefault="00374656" w:rsidP="001E23EF">
      <w:pPr>
        <w:pStyle w:val="ListParagraph"/>
        <w:numPr>
          <w:ilvl w:val="0"/>
          <w:numId w:val="1"/>
        </w:numPr>
        <w:contextualSpacing w:val="0"/>
      </w:pPr>
      <w:r>
        <w:t>Full-IFRS: transactiekosten zijn uitgezonderd onder de IFRS 3. Voorwaardelijke vergoedingen worden erkend ongeacht de kans op betaling.</w:t>
      </w:r>
    </w:p>
    <w:p w:rsidR="00374656" w:rsidRDefault="00374656" w:rsidP="001E23EF">
      <w:pPr>
        <w:rPr>
          <w:u w:val="single"/>
        </w:rPr>
      </w:pPr>
      <w:r>
        <w:rPr>
          <w:u w:val="single"/>
        </w:rPr>
        <w:t>Investeringen in geassocieerde deelnemingen en joint ventures</w:t>
      </w:r>
    </w:p>
    <w:p w:rsidR="00374656" w:rsidRDefault="00374656" w:rsidP="001E23EF">
      <w:pPr>
        <w:pStyle w:val="ListParagraph"/>
        <w:numPr>
          <w:ilvl w:val="0"/>
          <w:numId w:val="1"/>
        </w:numPr>
        <w:contextualSpacing w:val="0"/>
      </w:pPr>
      <w:r>
        <w:t>IFRS for SME: één van de drie methoden mag worden gebruikt: het kostenmodel (kosten minus geaccumuleerde impairmentverliezen), de equity-methode en de fair value.</w:t>
      </w:r>
    </w:p>
    <w:p w:rsidR="00374656" w:rsidRDefault="00374656" w:rsidP="001E23EF">
      <w:pPr>
        <w:pStyle w:val="ListParagraph"/>
        <w:numPr>
          <w:ilvl w:val="0"/>
          <w:numId w:val="1"/>
        </w:numPr>
        <w:contextualSpacing w:val="0"/>
      </w:pPr>
      <w:r>
        <w:t xml:space="preserve">Full-IFRS: investeringen in geassocieerde deelnemingen moeten worden gewaardeerd volgens de equity-methode. Voor de waardering van de joint ventures is zowel de proportionele consolidatie methode als de equity-methode toegestaan. </w:t>
      </w:r>
    </w:p>
    <w:p w:rsidR="00374656" w:rsidRDefault="00374656" w:rsidP="001E23EF">
      <w:pPr>
        <w:rPr>
          <w:u w:val="single"/>
        </w:rPr>
      </w:pPr>
      <w:r>
        <w:rPr>
          <w:u w:val="single"/>
        </w:rPr>
        <w:t>Verwerking van kosten</w:t>
      </w:r>
    </w:p>
    <w:p w:rsidR="00374656" w:rsidRDefault="00374656" w:rsidP="001E23EF">
      <w:pPr>
        <w:pStyle w:val="ListParagraph"/>
        <w:numPr>
          <w:ilvl w:val="0"/>
          <w:numId w:val="1"/>
        </w:numPr>
        <w:contextualSpacing w:val="0"/>
      </w:pPr>
      <w:r>
        <w:t>IFRS for SME: alle onderzoeks- en ontwikkelingskosten en alle leningskosten worden erkend als kosten.</w:t>
      </w:r>
    </w:p>
    <w:p w:rsidR="00374656" w:rsidRDefault="00374656" w:rsidP="001E23EF">
      <w:pPr>
        <w:pStyle w:val="ListParagraph"/>
        <w:numPr>
          <w:ilvl w:val="0"/>
          <w:numId w:val="1"/>
        </w:numPr>
        <w:contextualSpacing w:val="0"/>
      </w:pPr>
      <w:r>
        <w:t xml:space="preserve">Full-IFRS: onderzoekskosten worden beschouwd als kosten en ontwikkelingskosten en leningskosten worden gekapitaliseerd en geamortiseerd. </w:t>
      </w:r>
    </w:p>
    <w:p w:rsidR="00374656" w:rsidRDefault="00374656" w:rsidP="001E23EF">
      <w:pPr>
        <w:rPr>
          <w:u w:val="single"/>
        </w:rPr>
      </w:pPr>
      <w:r>
        <w:rPr>
          <w:u w:val="single"/>
        </w:rPr>
        <w:t>Financiële instrumenten</w:t>
      </w:r>
    </w:p>
    <w:p w:rsidR="00374656" w:rsidRDefault="00374656" w:rsidP="001E23EF">
      <w:pPr>
        <w:pStyle w:val="ListParagraph"/>
        <w:numPr>
          <w:ilvl w:val="0"/>
          <w:numId w:val="1"/>
        </w:numPr>
        <w:contextualSpacing w:val="0"/>
      </w:pPr>
      <w:r>
        <w:t xml:space="preserve">IFRS voor SME: er zijn twee secties met betrekking tot financiële instrumenten, een sectie voor simpele betalingen en ontvangsten en andere basis financiële instrumenten en een sectie voor meer complexere financiële instrumenten. De meeste basis financiële instrumenten worden gemeten tegen geamortiseerde kosten en de complexere instrumenten worden gemeten volgens de fair value. </w:t>
      </w:r>
    </w:p>
    <w:p w:rsidR="00374656" w:rsidRDefault="00374656" w:rsidP="001E23EF">
      <w:pPr>
        <w:pStyle w:val="ListParagraph"/>
        <w:numPr>
          <w:ilvl w:val="0"/>
          <w:numId w:val="1"/>
        </w:numPr>
        <w:contextualSpacing w:val="0"/>
      </w:pPr>
      <w:r>
        <w:t xml:space="preserve">Full-IFRS: de IAS 39 ‘Financial instruments: recognition and measurement’ onderscheidt vier meetcategorieën voor financiële instrumenten, namelijk financiële bezittingen of verplichtingen tegen de fair value, held-to-maturity investeringen, leningen en ontvangsten en financiële bezittingen beschikbaar-voor-verkoop. </w:t>
      </w:r>
    </w:p>
    <w:p w:rsidR="00374656" w:rsidRDefault="00374656" w:rsidP="001E23EF">
      <w:pPr>
        <w:rPr>
          <w:u w:val="single"/>
        </w:rPr>
      </w:pPr>
      <w:r>
        <w:rPr>
          <w:u w:val="single"/>
        </w:rPr>
        <w:t>Niet-financiële bezittingen en goodwill</w:t>
      </w:r>
    </w:p>
    <w:p w:rsidR="00374656" w:rsidRDefault="00374656" w:rsidP="001E23EF">
      <w:pPr>
        <w:pStyle w:val="ListParagraph"/>
        <w:numPr>
          <w:ilvl w:val="0"/>
          <w:numId w:val="1"/>
        </w:numPr>
        <w:contextualSpacing w:val="0"/>
      </w:pPr>
      <w:r>
        <w:t>IFRS voor SME: het kostenmodel is het enige model dat is toegestaan. De veronderstelling is dat de immateriële vaste activa een beperkte levensduur hebben en worden geamortiseerd. Alleen als er een aanwijzing is, zijn de materiële vaste activa getest voor impairment. Het besluit tot verkoop van een bezitting is een indicator voor impairment. Investment property worden gehouden tegen de fair value.</w:t>
      </w:r>
    </w:p>
    <w:p w:rsidR="00374656" w:rsidRDefault="00374656" w:rsidP="001E23EF">
      <w:pPr>
        <w:pStyle w:val="ListParagraph"/>
        <w:numPr>
          <w:ilvl w:val="0"/>
          <w:numId w:val="1"/>
        </w:numPr>
        <w:contextualSpacing w:val="0"/>
      </w:pPr>
      <w:r>
        <w:t>Full-IFRS: keuze verslaggevingsbeleid tussen het kostenmodel en herwaarderingsmodel voor zowel materiële als immateriële vaste activa. Goodwill en andere immateriële vaste activa met ongedefinieerde levensduur worden herzien voor impairment en niet geamortiseerd. Onder de IAS 38 hebben materiële vaste activa een eindig of een oneindig levensduur. Onder de laatste worden de immateriële vaste activa niet geamortiseerd en is een jaarlijkse impairment test vereist. Investment property worden gewaardeerd tegen of de fair value dan wel het kostenmodel.</w:t>
      </w:r>
    </w:p>
    <w:p w:rsidR="00374656" w:rsidRDefault="00374656" w:rsidP="001E23EF">
      <w:pPr>
        <w:rPr>
          <w:u w:val="single"/>
        </w:rPr>
      </w:pPr>
      <w:r>
        <w:rPr>
          <w:u w:val="single"/>
        </w:rPr>
        <w:t>Werknemersvoordeel</w:t>
      </w:r>
    </w:p>
    <w:p w:rsidR="00374656" w:rsidRDefault="00374656" w:rsidP="001E23EF">
      <w:pPr>
        <w:pStyle w:val="ListParagraph"/>
        <w:numPr>
          <w:ilvl w:val="0"/>
          <w:numId w:val="1"/>
        </w:numPr>
        <w:contextualSpacing w:val="0"/>
      </w:pPr>
      <w:r>
        <w:t xml:space="preserve">IFRS for SME: vereist onmiddellijke erkenning en kosten worden gesplitst in verschillende componenten. De omstandigheden-gedreven methode is toegepast, wat betekent dat dhet gebruik van een ‘accrued benefit valuation method’ is vereist indien de informatie dat benodigd is om de berekening te maken beschikbaar is. Als de informatie niet beschikbaar is, dan zijn vereenvoudigingen toegestaan waarin toekomstige omstandigheden niet worden meegenomen. </w:t>
      </w:r>
    </w:p>
    <w:p w:rsidR="00374656" w:rsidRDefault="00374656" w:rsidP="001E23EF">
      <w:pPr>
        <w:pStyle w:val="ListParagraph"/>
        <w:numPr>
          <w:ilvl w:val="0"/>
          <w:numId w:val="1"/>
        </w:numPr>
        <w:contextualSpacing w:val="0"/>
      </w:pPr>
      <w:r>
        <w:t>Full-IFRS: werkelijke winsten en verliezen kunnen onmiddellijk worden erkend of geamortiseerd in de winsten of verliezen over de verwachte resterende werktijd van deelnemende werknemers. Voor het berekenen van de defined benefit obligations is het gebruik van een accrued benefit valuation vereist.</w:t>
      </w:r>
    </w:p>
    <w:p w:rsidR="00374656" w:rsidRDefault="00374656" w:rsidP="001E23EF">
      <w:r>
        <w:rPr>
          <w:u w:val="single"/>
        </w:rPr>
        <w:t>Inkomstenbelasting</w:t>
      </w:r>
      <w:r>
        <w:t xml:space="preserve"> (KPMG, 2010, p.21)</w:t>
      </w:r>
    </w:p>
    <w:p w:rsidR="00374656" w:rsidRDefault="00374656" w:rsidP="001E23EF">
      <w:pPr>
        <w:pStyle w:val="ListParagraph"/>
        <w:numPr>
          <w:ilvl w:val="0"/>
          <w:numId w:val="1"/>
        </w:numPr>
        <w:contextualSpacing w:val="0"/>
      </w:pPr>
      <w:r>
        <w:t>IFRS for SME: de huidige belastingverplichting wordt verantwoord voor de belastingbetalingen van de huidige en de voorgaande periode. De huidige belastingvordering wordt verantwoord indien de te betalen belastingen kleiner is dan de te vorderen belastingen voor de huidige en de voorgaande perioden. De voordelen uit een belastingverlies kan worden gebruikt om de belastingen in de voorgaande periode te betalen. Verdiscontering van de huidige belastingverplichtingen en –vorderingen is verplicht. De latente belastingverplichtin-gen vorderingen worden verantwoord voor respectievelijk de te betalen belastingen en de te vorderen belastingen voor de toekomstige perioden als gevolg van transacties of gebeurtenissen uit het verleden. Er is geen vrijstelling voor de eerste verantwoording van latente belastingen als gevolg van de verantwoording van bezittingen en verplichtingen waarbij de desbetreffende transacties geen business combinations zijn.</w:t>
      </w:r>
    </w:p>
    <w:p w:rsidR="00374656" w:rsidRDefault="00374656" w:rsidP="001E23EF">
      <w:pPr>
        <w:pStyle w:val="ListParagraph"/>
        <w:numPr>
          <w:ilvl w:val="0"/>
          <w:numId w:val="1"/>
        </w:numPr>
        <w:contextualSpacing w:val="0"/>
      </w:pPr>
      <w:r>
        <w:t>Full-IFRS: gelijke bepalingen als de IFRS for SME, met uitzondering van de verdiscontering van de belastingen die niet specifiek wordt geadresseerd onder de full-IFRS. Verder is er een vrijstelling voor de eerste verantwoording van de latente belastingen als gevolg van verantwoording van bezittingen en verplichtingen waarbij de desbetreffende transacties geen business combination zijn.</w:t>
      </w:r>
    </w:p>
    <w:p w:rsidR="00374656" w:rsidRDefault="00374656" w:rsidP="001E23EF">
      <w:pPr>
        <w:ind w:left="360"/>
      </w:pPr>
    </w:p>
    <w:p w:rsidR="00374656" w:rsidRDefault="00374656" w:rsidP="001E23EF">
      <w:pPr>
        <w:sectPr w:rsidR="00374656">
          <w:headerReference w:type="default" r:id="rId15"/>
          <w:footerReference w:type="default" r:id="rId16"/>
          <w:pgSz w:w="11906" w:h="16838"/>
          <w:pgMar w:top="1417" w:right="1417" w:bottom="1417" w:left="1417" w:header="708" w:footer="708" w:gutter="0"/>
          <w:cols w:space="708"/>
          <w:titlePg/>
          <w:docGrid w:linePitch="360"/>
        </w:sectPr>
      </w:pPr>
    </w:p>
    <w:p w:rsidR="00374656" w:rsidRDefault="00374656" w:rsidP="001E23EF">
      <w:pPr>
        <w:pStyle w:val="Heading1"/>
        <w:spacing w:line="336" w:lineRule="auto"/>
      </w:pPr>
      <w:bookmarkStart w:id="70" w:name="_Toc296778041"/>
      <w:r>
        <w:t>Bijlage B: Empirische onderzoeken</w:t>
      </w:r>
      <w:bookmarkEnd w:id="70"/>
    </w:p>
    <w:tbl>
      <w:tblPr>
        <w:tblpPr w:leftFromText="141" w:rightFromText="141" w:vertAnchor="text" w:horzAnchor="margin" w:tblpX="70" w:tblpY="131"/>
        <w:tblW w:w="145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197"/>
        <w:gridCol w:w="2126"/>
        <w:gridCol w:w="3544"/>
        <w:gridCol w:w="6682"/>
      </w:tblGrid>
      <w:tr w:rsidR="00374656" w:rsidRPr="00FF1C3C" w:rsidTr="00842650">
        <w:trPr>
          <w:trHeight w:val="300"/>
        </w:trPr>
        <w:tc>
          <w:tcPr>
            <w:tcW w:w="14549" w:type="dxa"/>
            <w:gridSpan w:val="4"/>
            <w:noWrap/>
          </w:tcPr>
          <w:p w:rsidR="00374656" w:rsidRPr="00FF1C3C" w:rsidRDefault="00374656" w:rsidP="00842650">
            <w:pPr>
              <w:spacing w:after="0" w:line="240" w:lineRule="auto"/>
              <w:jc w:val="left"/>
              <w:rPr>
                <w:rFonts w:ascii="Calibri" w:hAnsi="Calibri" w:cs="Calibri"/>
                <w:b/>
                <w:bCs/>
                <w:color w:val="000000"/>
                <w:lang w:eastAsia="nl-NL"/>
              </w:rPr>
            </w:pPr>
            <w:r w:rsidRPr="00FF1C3C">
              <w:rPr>
                <w:rFonts w:ascii="Calibri" w:hAnsi="Calibri" w:cs="Calibri"/>
                <w:color w:val="000000"/>
                <w:lang w:eastAsia="nl-NL"/>
              </w:rPr>
              <w:t xml:space="preserve"> </w:t>
            </w:r>
            <w:r w:rsidRPr="00FF1C3C">
              <w:rPr>
                <w:rFonts w:ascii="Calibri" w:hAnsi="Calibri" w:cs="Calibri"/>
                <w:b/>
                <w:bCs/>
                <w:color w:val="000000"/>
                <w:lang w:eastAsia="nl-NL"/>
              </w:rPr>
              <w:t>Algemene perceptie Europa ten aanzien van IFRS for SMEs</w:t>
            </w:r>
          </w:p>
        </w:tc>
      </w:tr>
      <w:tr w:rsidR="00374656" w:rsidRPr="00FF1C3C" w:rsidTr="00842650">
        <w:trPr>
          <w:trHeight w:val="300"/>
        </w:trPr>
        <w:tc>
          <w:tcPr>
            <w:tcW w:w="219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Naam/Organisatie</w:t>
            </w:r>
          </w:p>
        </w:tc>
        <w:tc>
          <w:tcPr>
            <w:tcW w:w="2126"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Methode</w:t>
            </w:r>
          </w:p>
        </w:tc>
        <w:tc>
          <w:tcPr>
            <w:tcW w:w="3544"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Steekproef</w:t>
            </w:r>
          </w:p>
        </w:tc>
        <w:tc>
          <w:tcPr>
            <w:tcW w:w="6682"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Conclusie/ resultaat</w:t>
            </w:r>
          </w:p>
        </w:tc>
      </w:tr>
      <w:tr w:rsidR="00374656" w:rsidRPr="00FF1C3C" w:rsidTr="00842650">
        <w:trPr>
          <w:trHeight w:val="1069"/>
        </w:trPr>
        <w:tc>
          <w:tcPr>
            <w:tcW w:w="2197" w:type="dxa"/>
            <w:noWrap/>
          </w:tcPr>
          <w:p w:rsidR="00374656" w:rsidRPr="00FF1C3C" w:rsidRDefault="00374656" w:rsidP="00842650">
            <w:pPr>
              <w:spacing w:after="0" w:line="240" w:lineRule="auto"/>
              <w:jc w:val="left"/>
              <w:rPr>
                <w:rFonts w:ascii="Calibri" w:hAnsi="Calibri" w:cs="Calibri"/>
                <w:color w:val="000000"/>
                <w:lang w:val="fr-FR" w:eastAsia="nl-NL"/>
              </w:rPr>
            </w:pPr>
            <w:r w:rsidRPr="00FF1C3C">
              <w:rPr>
                <w:rFonts w:ascii="Calibri" w:hAnsi="Calibri" w:cs="Calibri"/>
                <w:color w:val="000000"/>
                <w:lang w:val="fr-FR" w:eastAsia="nl-NL"/>
              </w:rPr>
              <w:t>European Commission (2010)</w:t>
            </w:r>
          </w:p>
        </w:tc>
        <w:tc>
          <w:tcPr>
            <w:tcW w:w="2126" w:type="dxa"/>
            <w:noWrap/>
          </w:tcPr>
          <w:p w:rsidR="00374656" w:rsidRPr="00FF1C3C" w:rsidRDefault="00374656" w:rsidP="00842650">
            <w:pPr>
              <w:spacing w:after="0" w:line="240" w:lineRule="auto"/>
              <w:jc w:val="left"/>
              <w:rPr>
                <w:rFonts w:ascii="Calibri" w:hAnsi="Calibri" w:cs="Calibri"/>
                <w:color w:val="000000"/>
                <w:lang w:val="fr-FR" w:eastAsia="nl-NL"/>
              </w:rPr>
            </w:pPr>
            <w:r w:rsidRPr="00FF1C3C">
              <w:rPr>
                <w:rFonts w:ascii="Calibri" w:hAnsi="Calibri" w:cs="Calibri"/>
                <w:color w:val="000000"/>
                <w:lang w:val="fr-FR" w:eastAsia="nl-NL"/>
              </w:rPr>
              <w:t>Enquêteonderzoek</w:t>
            </w:r>
          </w:p>
        </w:tc>
        <w:tc>
          <w:tcPr>
            <w:tcW w:w="3544"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 xml:space="preserve">210 reacties: opstellers en gebruikers van financiële verslagen, publieke autoriteiten, verslaggevinggevers, accountants en controllers. </w:t>
            </w:r>
          </w:p>
        </w:tc>
        <w:tc>
          <w:tcPr>
            <w:tcW w:w="6682"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Uiteenlopende meningen omtrent de invoering van de IFRS for SMEs.</w:t>
            </w:r>
          </w:p>
        </w:tc>
      </w:tr>
      <w:tr w:rsidR="00374656" w:rsidRPr="00FF1C3C" w:rsidTr="00842650">
        <w:trPr>
          <w:trHeight w:val="1159"/>
        </w:trPr>
        <w:tc>
          <w:tcPr>
            <w:tcW w:w="219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Kamp (2011)</w:t>
            </w:r>
          </w:p>
        </w:tc>
        <w:tc>
          <w:tcPr>
            <w:tcW w:w="2126"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Vergelijking van onderzoeken</w:t>
            </w:r>
          </w:p>
        </w:tc>
        <w:tc>
          <w:tcPr>
            <w:tcW w:w="3544"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w:t>
            </w:r>
          </w:p>
        </w:tc>
        <w:tc>
          <w:tcPr>
            <w:tcW w:w="6682"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 xml:space="preserve">Uiteenlopende meningen over toepassing van de IFRS for SMEs door het verschil in voorkeur voor principles versus rules based standaard en het belang van de conservatieve winstbepaling. De acceptatie van de IFRS for SMEs zal niet eenvoudig worden. </w:t>
            </w:r>
          </w:p>
        </w:tc>
      </w:tr>
      <w:tr w:rsidR="00374656" w:rsidRPr="00FF1C3C" w:rsidTr="00842650">
        <w:trPr>
          <w:trHeight w:val="836"/>
        </w:trPr>
        <w:tc>
          <w:tcPr>
            <w:tcW w:w="219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Mazars (2008)</w:t>
            </w:r>
          </w:p>
        </w:tc>
        <w:tc>
          <w:tcPr>
            <w:tcW w:w="2126"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Telefonische interviews</w:t>
            </w:r>
          </w:p>
        </w:tc>
        <w:tc>
          <w:tcPr>
            <w:tcW w:w="3544"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 xml:space="preserve">593 SMEs: managers, CFO’s, administratieve managers, algemene managers en de CEO’s. </w:t>
            </w:r>
          </w:p>
        </w:tc>
        <w:tc>
          <w:tcPr>
            <w:tcW w:w="6682"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De meerderheid van de Europese SMEs zijn voorstanders van een gemeenschappelijke set verslaggevingstandaarden.</w:t>
            </w:r>
          </w:p>
        </w:tc>
      </w:tr>
      <w:tr w:rsidR="00374656" w:rsidRPr="00FF1C3C" w:rsidTr="00842650">
        <w:trPr>
          <w:trHeight w:val="300"/>
        </w:trPr>
        <w:tc>
          <w:tcPr>
            <w:tcW w:w="219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IASB (2008)</w:t>
            </w:r>
          </w:p>
        </w:tc>
        <w:tc>
          <w:tcPr>
            <w:tcW w:w="2126"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Enquêteonderzoek</w:t>
            </w:r>
          </w:p>
        </w:tc>
        <w:tc>
          <w:tcPr>
            <w:tcW w:w="3544"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116 fieldtests in 20 landen</w:t>
            </w:r>
          </w:p>
        </w:tc>
        <w:tc>
          <w:tcPr>
            <w:tcW w:w="6682"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Uiteenlopende meningen in Europa.</w:t>
            </w:r>
          </w:p>
        </w:tc>
      </w:tr>
    </w:tbl>
    <w:p w:rsidR="00374656" w:rsidRDefault="00374656" w:rsidP="001E23EF">
      <w:pPr>
        <w:jc w:val="left"/>
      </w:pPr>
    </w:p>
    <w:tbl>
      <w:tblPr>
        <w:tblW w:w="1448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293"/>
        <w:gridCol w:w="2127"/>
        <w:gridCol w:w="3543"/>
        <w:gridCol w:w="6521"/>
      </w:tblGrid>
      <w:tr w:rsidR="00374656" w:rsidRPr="00FF1C3C" w:rsidTr="00842650">
        <w:trPr>
          <w:trHeight w:val="300"/>
        </w:trPr>
        <w:tc>
          <w:tcPr>
            <w:tcW w:w="14484" w:type="dxa"/>
            <w:gridSpan w:val="4"/>
            <w:noWrap/>
          </w:tcPr>
          <w:p w:rsidR="00374656" w:rsidRPr="00FF1C3C" w:rsidRDefault="00374656" w:rsidP="00842650">
            <w:pPr>
              <w:spacing w:after="0" w:line="240" w:lineRule="auto"/>
              <w:jc w:val="left"/>
              <w:rPr>
                <w:rFonts w:ascii="Calibri" w:hAnsi="Calibri" w:cs="Calibri"/>
                <w:b/>
                <w:bCs/>
                <w:color w:val="000000"/>
                <w:lang w:eastAsia="nl-NL"/>
              </w:rPr>
            </w:pPr>
            <w:r w:rsidRPr="00FF1C3C">
              <w:rPr>
                <w:rFonts w:ascii="Calibri" w:hAnsi="Calibri" w:cs="Calibri"/>
                <w:b/>
                <w:bCs/>
                <w:color w:val="000000"/>
                <w:lang w:eastAsia="nl-NL"/>
              </w:rPr>
              <w:t>Verschillende zienswijzen in Europa</w:t>
            </w:r>
          </w:p>
        </w:tc>
      </w:tr>
      <w:tr w:rsidR="00374656" w:rsidRPr="00FF1C3C" w:rsidTr="00842650">
        <w:trPr>
          <w:trHeight w:val="300"/>
        </w:trPr>
        <w:tc>
          <w:tcPr>
            <w:tcW w:w="229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Naam/Organisatie</w:t>
            </w:r>
          </w:p>
        </w:tc>
        <w:tc>
          <w:tcPr>
            <w:tcW w:w="212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Methode</w:t>
            </w:r>
          </w:p>
        </w:tc>
        <w:tc>
          <w:tcPr>
            <w:tcW w:w="354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Steekproef</w:t>
            </w:r>
          </w:p>
        </w:tc>
        <w:tc>
          <w:tcPr>
            <w:tcW w:w="6521"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Conclusie/ resultaat</w:t>
            </w:r>
          </w:p>
        </w:tc>
      </w:tr>
      <w:tr w:rsidR="00374656" w:rsidRPr="00FF1C3C" w:rsidTr="00842650">
        <w:trPr>
          <w:trHeight w:val="578"/>
        </w:trPr>
        <w:tc>
          <w:tcPr>
            <w:tcW w:w="2293" w:type="dxa"/>
            <w:noWrap/>
          </w:tcPr>
          <w:p w:rsidR="00374656" w:rsidRPr="00FF1C3C" w:rsidRDefault="00374656" w:rsidP="00842650">
            <w:pPr>
              <w:spacing w:after="0" w:line="240" w:lineRule="auto"/>
              <w:jc w:val="left"/>
              <w:rPr>
                <w:rFonts w:ascii="Calibri" w:hAnsi="Calibri" w:cs="Calibri"/>
                <w:color w:val="000000"/>
                <w:lang w:val="fr-FR" w:eastAsia="nl-NL"/>
              </w:rPr>
            </w:pPr>
            <w:r w:rsidRPr="00FF1C3C">
              <w:rPr>
                <w:rFonts w:ascii="Calibri" w:hAnsi="Calibri" w:cs="Calibri"/>
                <w:color w:val="000000"/>
                <w:lang w:val="fr-FR" w:eastAsia="nl-NL"/>
              </w:rPr>
              <w:t>Aamir en Farooq (2010)</w:t>
            </w:r>
          </w:p>
        </w:tc>
        <w:tc>
          <w:tcPr>
            <w:tcW w:w="212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Enquêteonderzoek</w:t>
            </w:r>
          </w:p>
        </w:tc>
        <w:tc>
          <w:tcPr>
            <w:tcW w:w="3543"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 xml:space="preserve">11 respondenten:experts, controllers en het management </w:t>
            </w:r>
          </w:p>
        </w:tc>
        <w:tc>
          <w:tcPr>
            <w:tcW w:w="6521"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De Zweedse SMEs zijn niet bereid om de IFRS for SMEs toe te passen.</w:t>
            </w:r>
          </w:p>
        </w:tc>
      </w:tr>
      <w:tr w:rsidR="00374656" w:rsidRPr="00FF1C3C" w:rsidTr="00842650">
        <w:trPr>
          <w:trHeight w:val="600"/>
        </w:trPr>
        <w:tc>
          <w:tcPr>
            <w:tcW w:w="229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ACCA (2008)</w:t>
            </w:r>
          </w:p>
        </w:tc>
        <w:tc>
          <w:tcPr>
            <w:tcW w:w="212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Enquêteonderzoek</w:t>
            </w:r>
          </w:p>
        </w:tc>
        <w:tc>
          <w:tcPr>
            <w:tcW w:w="354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25 SMEs: onbekend</w:t>
            </w:r>
          </w:p>
        </w:tc>
        <w:tc>
          <w:tcPr>
            <w:tcW w:w="6521"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De meerderheid van de Engelse respondenten is voorstander van de toepassing van de IFRS for SMEs.</w:t>
            </w:r>
          </w:p>
        </w:tc>
      </w:tr>
      <w:tr w:rsidR="00374656" w:rsidRPr="00FF1C3C" w:rsidTr="00842650">
        <w:trPr>
          <w:trHeight w:val="300"/>
        </w:trPr>
        <w:tc>
          <w:tcPr>
            <w:tcW w:w="229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CNC (2008)</w:t>
            </w:r>
          </w:p>
        </w:tc>
        <w:tc>
          <w:tcPr>
            <w:tcW w:w="212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Enquêteonderzoek</w:t>
            </w:r>
          </w:p>
        </w:tc>
        <w:tc>
          <w:tcPr>
            <w:tcW w:w="354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678 SMEs: eigenaren, CFO, CEO</w:t>
            </w:r>
          </w:p>
        </w:tc>
        <w:tc>
          <w:tcPr>
            <w:tcW w:w="6521"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Geen steun en behoefte aan de IFRS for SMEs in Frankrijk</w:t>
            </w:r>
          </w:p>
        </w:tc>
      </w:tr>
      <w:tr w:rsidR="00374656" w:rsidRPr="00FF1C3C" w:rsidTr="00842650">
        <w:trPr>
          <w:trHeight w:val="600"/>
        </w:trPr>
        <w:tc>
          <w:tcPr>
            <w:tcW w:w="229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Eierle, Haller en GASC (2007)</w:t>
            </w:r>
          </w:p>
        </w:tc>
        <w:tc>
          <w:tcPr>
            <w:tcW w:w="212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Enquêteonderzoek</w:t>
            </w:r>
          </w:p>
        </w:tc>
        <w:tc>
          <w:tcPr>
            <w:tcW w:w="354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410 SMEs: eigenaren, CFO, CEO</w:t>
            </w:r>
          </w:p>
        </w:tc>
        <w:tc>
          <w:tcPr>
            <w:tcW w:w="6521"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De meerderheid van de Duitse respondenten vindt de IFRS for SMEs niet aantrekkelijk genoeg om toe te passen.</w:t>
            </w:r>
          </w:p>
        </w:tc>
      </w:tr>
      <w:tr w:rsidR="00374656" w:rsidRPr="00FF1C3C" w:rsidTr="00842650">
        <w:trPr>
          <w:trHeight w:val="900"/>
        </w:trPr>
        <w:tc>
          <w:tcPr>
            <w:tcW w:w="2293"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Göransson (2008)</w:t>
            </w:r>
          </w:p>
        </w:tc>
        <w:tc>
          <w:tcPr>
            <w:tcW w:w="2127" w:type="dxa"/>
            <w:noWrap/>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 xml:space="preserve">Interviews </w:t>
            </w:r>
          </w:p>
        </w:tc>
        <w:tc>
          <w:tcPr>
            <w:tcW w:w="3543"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2 leden van de BFN en een onderzoeker, practicus en een bankvertegenwoordiger</w:t>
            </w:r>
          </w:p>
        </w:tc>
        <w:tc>
          <w:tcPr>
            <w:tcW w:w="6521" w:type="dxa"/>
          </w:tcPr>
          <w:p w:rsidR="00374656" w:rsidRPr="00FF1C3C" w:rsidRDefault="00374656" w:rsidP="00842650">
            <w:pPr>
              <w:spacing w:after="0" w:line="240" w:lineRule="auto"/>
              <w:jc w:val="left"/>
              <w:rPr>
                <w:rFonts w:ascii="Calibri" w:hAnsi="Calibri" w:cs="Calibri"/>
                <w:color w:val="000000"/>
                <w:lang w:eastAsia="nl-NL"/>
              </w:rPr>
            </w:pPr>
            <w:r w:rsidRPr="00FF1C3C">
              <w:rPr>
                <w:rFonts w:ascii="Calibri" w:hAnsi="Calibri" w:cs="Calibri"/>
                <w:color w:val="000000"/>
                <w:lang w:eastAsia="nl-NL"/>
              </w:rPr>
              <w:t>De IFRS for SMEs is niet geschikt voor de Zweedse SMEs</w:t>
            </w:r>
          </w:p>
        </w:tc>
      </w:tr>
    </w:tbl>
    <w:tbl>
      <w:tblPr>
        <w:tblpPr w:leftFromText="141" w:rightFromText="141" w:vertAnchor="text" w:horzAnchor="margin" w:tblpY="405"/>
        <w:tblW w:w="14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28"/>
        <w:gridCol w:w="368"/>
        <w:gridCol w:w="403"/>
        <w:gridCol w:w="365"/>
        <w:gridCol w:w="390"/>
        <w:gridCol w:w="383"/>
        <w:gridCol w:w="355"/>
        <w:gridCol w:w="297"/>
        <w:gridCol w:w="361"/>
        <w:gridCol w:w="340"/>
        <w:gridCol w:w="428"/>
        <w:gridCol w:w="303"/>
        <w:gridCol w:w="303"/>
        <w:gridCol w:w="358"/>
        <w:gridCol w:w="340"/>
        <w:gridCol w:w="374"/>
        <w:gridCol w:w="450"/>
        <w:gridCol w:w="375"/>
        <w:gridCol w:w="375"/>
        <w:gridCol w:w="347"/>
        <w:gridCol w:w="361"/>
        <w:gridCol w:w="411"/>
        <w:gridCol w:w="356"/>
        <w:gridCol w:w="334"/>
        <w:gridCol w:w="349"/>
        <w:gridCol w:w="361"/>
        <w:gridCol w:w="398"/>
        <w:gridCol w:w="349"/>
      </w:tblGrid>
      <w:tr w:rsidR="00374656" w:rsidRPr="00FF1C3C" w:rsidTr="00842650">
        <w:trPr>
          <w:trHeight w:val="300"/>
        </w:trPr>
        <w:tc>
          <w:tcPr>
            <w:tcW w:w="14962" w:type="dxa"/>
            <w:gridSpan w:val="28"/>
            <w:noWrap/>
            <w:vAlign w:val="bottom"/>
          </w:tcPr>
          <w:p w:rsidR="00374656" w:rsidRPr="00FF1C3C" w:rsidRDefault="00374656" w:rsidP="00842650">
            <w:pPr>
              <w:spacing w:after="0" w:line="240" w:lineRule="auto"/>
              <w:jc w:val="center"/>
              <w:rPr>
                <w:rFonts w:ascii="Calibri" w:hAnsi="Calibri" w:cs="Calibri"/>
                <w:b/>
                <w:bCs/>
                <w:color w:val="000000"/>
                <w:lang w:eastAsia="nl-NL"/>
              </w:rPr>
            </w:pPr>
            <w:r w:rsidRPr="00FF1C3C">
              <w:rPr>
                <w:rFonts w:ascii="Calibri" w:hAnsi="Calibri" w:cs="Calibri"/>
                <w:b/>
                <w:bCs/>
                <w:color w:val="000000"/>
                <w:lang w:eastAsia="nl-NL"/>
              </w:rPr>
              <w:t>Onderzoeksresultaten Europese Commissie 2010</w:t>
            </w:r>
          </w:p>
        </w:tc>
      </w:tr>
      <w:tr w:rsidR="00374656" w:rsidRPr="00FF1C3C" w:rsidTr="00842650">
        <w:trPr>
          <w:trHeight w:val="300"/>
        </w:trPr>
        <w:tc>
          <w:tcPr>
            <w:tcW w:w="5128" w:type="dxa"/>
            <w:noWrap/>
            <w:vAlign w:val="bottom"/>
          </w:tcPr>
          <w:p w:rsidR="00374656" w:rsidRPr="00FF1C3C" w:rsidRDefault="00374656" w:rsidP="00842650">
            <w:pPr>
              <w:spacing w:after="0" w:line="240" w:lineRule="auto"/>
              <w:rPr>
                <w:rFonts w:ascii="Calibri" w:hAnsi="Calibri" w:cs="Calibri"/>
                <w:color w:val="000000"/>
                <w:lang w:eastAsia="nl-NL"/>
              </w:rPr>
            </w:pPr>
          </w:p>
        </w:tc>
        <w:tc>
          <w:tcPr>
            <w:tcW w:w="368"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 xml:space="preserve">BE </w:t>
            </w:r>
          </w:p>
        </w:tc>
        <w:tc>
          <w:tcPr>
            <w:tcW w:w="403"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BG</w:t>
            </w:r>
          </w:p>
        </w:tc>
        <w:tc>
          <w:tcPr>
            <w:tcW w:w="365"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CY</w:t>
            </w:r>
          </w:p>
        </w:tc>
        <w:tc>
          <w:tcPr>
            <w:tcW w:w="390"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DK</w:t>
            </w:r>
          </w:p>
        </w:tc>
        <w:tc>
          <w:tcPr>
            <w:tcW w:w="383"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DE</w:t>
            </w:r>
          </w:p>
        </w:tc>
        <w:tc>
          <w:tcPr>
            <w:tcW w:w="355"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EE</w:t>
            </w:r>
          </w:p>
        </w:tc>
        <w:tc>
          <w:tcPr>
            <w:tcW w:w="297"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FI</w:t>
            </w:r>
          </w:p>
        </w:tc>
        <w:tc>
          <w:tcPr>
            <w:tcW w:w="36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FR</w:t>
            </w:r>
          </w:p>
        </w:tc>
        <w:tc>
          <w:tcPr>
            <w:tcW w:w="340"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EL</w:t>
            </w:r>
          </w:p>
        </w:tc>
        <w:tc>
          <w:tcPr>
            <w:tcW w:w="42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HU</w:t>
            </w:r>
          </w:p>
        </w:tc>
        <w:tc>
          <w:tcPr>
            <w:tcW w:w="303"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IE</w:t>
            </w:r>
          </w:p>
        </w:tc>
        <w:tc>
          <w:tcPr>
            <w:tcW w:w="303"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IT</w:t>
            </w:r>
          </w:p>
        </w:tc>
        <w:tc>
          <w:tcPr>
            <w:tcW w:w="358"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LV</w:t>
            </w:r>
          </w:p>
        </w:tc>
        <w:tc>
          <w:tcPr>
            <w:tcW w:w="340"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LT</w:t>
            </w:r>
          </w:p>
        </w:tc>
        <w:tc>
          <w:tcPr>
            <w:tcW w:w="374"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LU</w:t>
            </w:r>
          </w:p>
        </w:tc>
        <w:tc>
          <w:tcPr>
            <w:tcW w:w="450"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MT</w:t>
            </w:r>
          </w:p>
        </w:tc>
        <w:tc>
          <w:tcPr>
            <w:tcW w:w="375"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NL</w:t>
            </w:r>
          </w:p>
        </w:tc>
        <w:tc>
          <w:tcPr>
            <w:tcW w:w="375"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AT</w:t>
            </w:r>
          </w:p>
        </w:tc>
        <w:tc>
          <w:tcPr>
            <w:tcW w:w="347"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PL</w:t>
            </w:r>
          </w:p>
        </w:tc>
        <w:tc>
          <w:tcPr>
            <w:tcW w:w="361"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PT</w:t>
            </w:r>
          </w:p>
        </w:tc>
        <w:tc>
          <w:tcPr>
            <w:tcW w:w="411"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RO</w:t>
            </w:r>
          </w:p>
        </w:tc>
        <w:tc>
          <w:tcPr>
            <w:tcW w:w="356" w:type="dxa"/>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SK</w:t>
            </w:r>
          </w:p>
        </w:tc>
        <w:tc>
          <w:tcPr>
            <w:tcW w:w="334" w:type="dxa"/>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SL</w:t>
            </w:r>
          </w:p>
        </w:tc>
        <w:tc>
          <w:tcPr>
            <w:tcW w:w="349" w:type="dxa"/>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ES</w:t>
            </w:r>
          </w:p>
        </w:tc>
        <w:tc>
          <w:tcPr>
            <w:tcW w:w="361" w:type="dxa"/>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CZ</w:t>
            </w:r>
          </w:p>
        </w:tc>
        <w:tc>
          <w:tcPr>
            <w:tcW w:w="39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UK</w:t>
            </w:r>
          </w:p>
        </w:tc>
        <w:tc>
          <w:tcPr>
            <w:tcW w:w="349"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SE</w:t>
            </w:r>
          </w:p>
        </w:tc>
      </w:tr>
      <w:tr w:rsidR="00374656" w:rsidRPr="00FF1C3C" w:rsidTr="00842650">
        <w:trPr>
          <w:trHeight w:val="600"/>
        </w:trPr>
        <w:tc>
          <w:tcPr>
            <w:tcW w:w="5128" w:type="dxa"/>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1) Is de IFRS for SMEs geschikt voor Europa voor algemeen gebruik?</w:t>
            </w:r>
          </w:p>
        </w:tc>
        <w:tc>
          <w:tcPr>
            <w:tcW w:w="368" w:type="dxa"/>
            <w:shd w:val="clear" w:color="000000" w:fill="FF0000"/>
            <w:noWrap/>
            <w:vAlign w:val="bottom"/>
          </w:tcPr>
          <w:p w:rsidR="00374656" w:rsidRPr="00FF1C3C" w:rsidRDefault="00374656" w:rsidP="00842650">
            <w:pPr>
              <w:spacing w:after="0" w:line="240" w:lineRule="auto"/>
              <w:rPr>
                <w:rFonts w:ascii="Calibri" w:hAnsi="Calibri" w:cs="Calibri"/>
                <w:color w:val="FF0000"/>
                <w:lang w:eastAsia="nl-NL"/>
              </w:rPr>
            </w:pPr>
            <w:r w:rsidRPr="00FF1C3C">
              <w:rPr>
                <w:rFonts w:ascii="Calibri" w:hAnsi="Calibri" w:cs="Calibri"/>
                <w:color w:val="FF0000"/>
                <w:lang w:eastAsia="nl-NL"/>
              </w:rPr>
              <w:t> </w:t>
            </w:r>
          </w:p>
        </w:tc>
        <w:tc>
          <w:tcPr>
            <w:tcW w:w="4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8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297"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2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4"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5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FF0000"/>
            <w:noWrap/>
            <w:vAlign w:val="bottom"/>
          </w:tcPr>
          <w:p w:rsidR="00374656" w:rsidRPr="00FF1C3C" w:rsidRDefault="00374656" w:rsidP="00842650">
            <w:pPr>
              <w:spacing w:after="0" w:line="240" w:lineRule="auto"/>
              <w:rPr>
                <w:rFonts w:ascii="Calibri" w:hAnsi="Calibri" w:cs="Calibri"/>
                <w:color w:val="FF0000"/>
                <w:lang w:eastAsia="nl-NL"/>
              </w:rPr>
            </w:pPr>
            <w:r w:rsidRPr="00FF1C3C">
              <w:rPr>
                <w:rFonts w:ascii="Calibri" w:hAnsi="Calibri" w:cs="Calibri"/>
                <w:color w:val="FF0000"/>
                <w:lang w:eastAsia="nl-NL"/>
              </w:rPr>
              <w:t> </w:t>
            </w:r>
          </w:p>
        </w:tc>
        <w:tc>
          <w:tcPr>
            <w:tcW w:w="347"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1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6"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34"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8"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r>
      <w:tr w:rsidR="00374656" w:rsidRPr="00FF1C3C" w:rsidTr="00842650">
        <w:trPr>
          <w:cantSplit/>
          <w:trHeight w:val="300"/>
        </w:trPr>
        <w:tc>
          <w:tcPr>
            <w:tcW w:w="5128" w:type="dxa"/>
            <w:vMerge w:val="restart"/>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xml:space="preserve">2) Kan de IFRS for SMEs worden toegepast binnen het Europees wettelijke verslaggevingraamwerk </w:t>
            </w:r>
          </w:p>
        </w:tc>
        <w:tc>
          <w:tcPr>
            <w:tcW w:w="368" w:type="dxa"/>
            <w:tcBorders>
              <w:bottom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03"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5"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0"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83" w:type="dxa"/>
            <w:tcBorders>
              <w:bottom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5"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297" w:type="dxa"/>
            <w:tcBorders>
              <w:bottom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tcBorders>
              <w:bottom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28"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tcBorders>
              <w:bottom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8" w:type="dxa"/>
            <w:tcBorders>
              <w:bottom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4"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50"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tcBorders>
              <w:bottom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7"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11"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6" w:type="dxa"/>
            <w:tcBorders>
              <w:bottom w:val="nil"/>
            </w:tcBorders>
            <w:shd w:val="clear" w:color="000000" w:fill="FF0000"/>
            <w:noWrap/>
            <w:vAlign w:val="bottom"/>
          </w:tcPr>
          <w:p w:rsidR="00374656" w:rsidRPr="00FF1C3C" w:rsidRDefault="00374656" w:rsidP="00842650">
            <w:pPr>
              <w:spacing w:after="0" w:line="240" w:lineRule="auto"/>
              <w:rPr>
                <w:rFonts w:ascii="Calibri" w:hAnsi="Calibri" w:cs="Calibri"/>
                <w:color w:val="FF0000"/>
                <w:lang w:eastAsia="nl-NL"/>
              </w:rPr>
            </w:pPr>
            <w:r w:rsidRPr="00FF1C3C">
              <w:rPr>
                <w:rFonts w:ascii="Calibri" w:hAnsi="Calibri" w:cs="Calibri"/>
                <w:color w:val="FF0000"/>
                <w:lang w:eastAsia="nl-NL"/>
              </w:rPr>
              <w:t> </w:t>
            </w:r>
          </w:p>
        </w:tc>
        <w:tc>
          <w:tcPr>
            <w:tcW w:w="334"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8"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tcBorders>
              <w:bottom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r>
      <w:tr w:rsidR="00374656" w:rsidRPr="00FF1C3C" w:rsidTr="00842650">
        <w:trPr>
          <w:cantSplit/>
          <w:trHeight w:val="300"/>
        </w:trPr>
        <w:tc>
          <w:tcPr>
            <w:tcW w:w="5128" w:type="dxa"/>
            <w:vMerge/>
            <w:vAlign w:val="center"/>
          </w:tcPr>
          <w:p w:rsidR="00374656" w:rsidRPr="00FF1C3C" w:rsidRDefault="00374656" w:rsidP="00842650">
            <w:pPr>
              <w:spacing w:after="0" w:line="240" w:lineRule="auto"/>
              <w:rPr>
                <w:rFonts w:ascii="Calibri" w:hAnsi="Calibri" w:cs="Calibri"/>
                <w:color w:val="000000"/>
                <w:lang w:eastAsia="nl-NL"/>
              </w:rPr>
            </w:pPr>
          </w:p>
        </w:tc>
        <w:tc>
          <w:tcPr>
            <w:tcW w:w="368" w:type="dxa"/>
            <w:tcBorders>
              <w:top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03"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5"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0"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83" w:type="dxa"/>
            <w:tcBorders>
              <w:top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5"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297" w:type="dxa"/>
            <w:tcBorders>
              <w:top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tcBorders>
              <w:top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28"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tcBorders>
              <w:top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8" w:type="dxa"/>
            <w:tcBorders>
              <w:top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4"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50"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tcBorders>
              <w:top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7"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11"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6" w:type="dxa"/>
            <w:tcBorders>
              <w:top w:val="nil"/>
            </w:tcBorders>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34"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8"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tcBorders>
              <w:top w:val="nil"/>
            </w:tcBorders>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r>
      <w:tr w:rsidR="00374656" w:rsidRPr="00FF1C3C" w:rsidTr="00842650">
        <w:trPr>
          <w:trHeight w:val="600"/>
        </w:trPr>
        <w:tc>
          <w:tcPr>
            <w:tcW w:w="5128" w:type="dxa"/>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3) Zo ja, dient de IFRS for SMEs optioneel te blijven voor de lidstaten?</w:t>
            </w:r>
          </w:p>
        </w:tc>
        <w:tc>
          <w:tcPr>
            <w:tcW w:w="368" w:type="dxa"/>
            <w:shd w:val="clear" w:color="000000" w:fill="FF0000"/>
            <w:noWrap/>
            <w:vAlign w:val="bottom"/>
          </w:tcPr>
          <w:p w:rsidR="00374656" w:rsidRPr="00FF1C3C" w:rsidRDefault="00374656" w:rsidP="00842650">
            <w:pPr>
              <w:spacing w:after="0" w:line="240" w:lineRule="auto"/>
              <w:rPr>
                <w:rFonts w:ascii="Calibri" w:hAnsi="Calibri" w:cs="Calibri"/>
                <w:color w:val="FF0000"/>
                <w:lang w:eastAsia="nl-NL"/>
              </w:rPr>
            </w:pPr>
            <w:r w:rsidRPr="00FF1C3C">
              <w:rPr>
                <w:rFonts w:ascii="Calibri" w:hAnsi="Calibri" w:cs="Calibri"/>
                <w:color w:val="FF0000"/>
                <w:lang w:eastAsia="nl-NL"/>
              </w:rPr>
              <w:t> </w:t>
            </w:r>
          </w:p>
        </w:tc>
        <w:tc>
          <w:tcPr>
            <w:tcW w:w="403"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0"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8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297"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28"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4"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5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7"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1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6"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34"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8"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r>
      <w:tr w:rsidR="00374656" w:rsidRPr="00FF1C3C" w:rsidTr="00842650">
        <w:trPr>
          <w:trHeight w:val="900"/>
        </w:trPr>
        <w:tc>
          <w:tcPr>
            <w:tcW w:w="5128" w:type="dxa"/>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xml:space="preserve">4) In het licht van de publicatie van IFRS for SMEs, is er een behoefte aan 'rule-based' verslaggeving in de toekomst? </w:t>
            </w:r>
          </w:p>
        </w:tc>
        <w:tc>
          <w:tcPr>
            <w:tcW w:w="368"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03" w:type="dxa"/>
            <w:shd w:val="clear" w:color="000000" w:fill="00B050"/>
            <w:noWrap/>
            <w:vAlign w:val="bottom"/>
          </w:tcPr>
          <w:p w:rsidR="00374656" w:rsidRPr="00FF1C3C" w:rsidRDefault="00374656" w:rsidP="00842650">
            <w:pPr>
              <w:spacing w:after="0" w:line="240" w:lineRule="auto"/>
              <w:rPr>
                <w:rFonts w:ascii="Calibri" w:hAnsi="Calibri" w:cs="Calibri"/>
                <w:color w:val="00B050"/>
                <w:lang w:eastAsia="nl-NL"/>
              </w:rPr>
            </w:pPr>
            <w:r w:rsidRPr="00FF1C3C">
              <w:rPr>
                <w:rFonts w:ascii="Calibri" w:hAnsi="Calibri" w:cs="Calibri"/>
                <w:color w:val="00B050"/>
                <w:lang w:eastAsia="nl-NL"/>
              </w:rPr>
              <w:t> </w:t>
            </w:r>
          </w:p>
        </w:tc>
        <w:tc>
          <w:tcPr>
            <w:tcW w:w="365"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0"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83"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5"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297"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28" w:type="dxa"/>
            <w:noWrap/>
            <w:vAlign w:val="bottom"/>
          </w:tcPr>
          <w:p w:rsidR="00374656" w:rsidRPr="00FF1C3C" w:rsidRDefault="00374656" w:rsidP="00842650">
            <w:pPr>
              <w:spacing w:after="0" w:line="240" w:lineRule="auto"/>
              <w:rPr>
                <w:rFonts w:ascii="Calibri" w:hAnsi="Calibri" w:cs="Calibri"/>
                <w:color w:val="000000"/>
                <w:lang w:eastAsia="nl-NL"/>
              </w:rPr>
            </w:pPr>
          </w:p>
        </w:tc>
        <w:tc>
          <w:tcPr>
            <w:tcW w:w="3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4" w:type="dxa"/>
            <w:shd w:val="clear" w:color="000000" w:fill="00B050"/>
            <w:noWrap/>
            <w:vAlign w:val="bottom"/>
          </w:tcPr>
          <w:p w:rsidR="00374656" w:rsidRPr="00FF1C3C" w:rsidRDefault="00374656" w:rsidP="00842650">
            <w:pPr>
              <w:spacing w:after="0" w:line="240" w:lineRule="auto"/>
              <w:rPr>
                <w:rFonts w:ascii="Calibri" w:hAnsi="Calibri" w:cs="Calibri"/>
                <w:color w:val="00B050"/>
                <w:lang w:eastAsia="nl-NL"/>
              </w:rPr>
            </w:pPr>
            <w:r w:rsidRPr="00FF1C3C">
              <w:rPr>
                <w:rFonts w:ascii="Calibri" w:hAnsi="Calibri" w:cs="Calibri"/>
                <w:color w:val="00B050"/>
                <w:lang w:eastAsia="nl-NL"/>
              </w:rPr>
              <w:t> </w:t>
            </w:r>
          </w:p>
        </w:tc>
        <w:tc>
          <w:tcPr>
            <w:tcW w:w="450"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00B050"/>
            <w:noWrap/>
            <w:vAlign w:val="bottom"/>
          </w:tcPr>
          <w:p w:rsidR="00374656" w:rsidRPr="00FF1C3C" w:rsidRDefault="00374656" w:rsidP="00842650">
            <w:pPr>
              <w:spacing w:after="0" w:line="240" w:lineRule="auto"/>
              <w:rPr>
                <w:rFonts w:ascii="Calibri" w:hAnsi="Calibri" w:cs="Calibri"/>
                <w:color w:val="00B050"/>
                <w:lang w:eastAsia="nl-NL"/>
              </w:rPr>
            </w:pPr>
            <w:r w:rsidRPr="00FF1C3C">
              <w:rPr>
                <w:rFonts w:ascii="Calibri" w:hAnsi="Calibri" w:cs="Calibri"/>
                <w:color w:val="00B050"/>
                <w:lang w:eastAsia="nl-NL"/>
              </w:rPr>
              <w:t> </w:t>
            </w:r>
          </w:p>
        </w:tc>
        <w:tc>
          <w:tcPr>
            <w:tcW w:w="347"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1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6"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34"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8"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r>
      <w:tr w:rsidR="00374656" w:rsidRPr="00FF1C3C" w:rsidTr="00842650">
        <w:trPr>
          <w:trHeight w:val="726"/>
        </w:trPr>
        <w:tc>
          <w:tcPr>
            <w:tcW w:w="5128" w:type="dxa"/>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5) Indien u een gebruiker bent, denkt u dat de jaarrekening op basis van de IFRS voor SMEs meer nuttige informatie levert dan de nationale GAAP?</w:t>
            </w:r>
          </w:p>
        </w:tc>
        <w:tc>
          <w:tcPr>
            <w:tcW w:w="368"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5"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0"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8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5"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297"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2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4"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50"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noWrap/>
            <w:vAlign w:val="bottom"/>
          </w:tcPr>
          <w:p w:rsidR="00374656" w:rsidRPr="00FF1C3C" w:rsidRDefault="00374656" w:rsidP="00842650">
            <w:pPr>
              <w:spacing w:after="0" w:line="240" w:lineRule="auto"/>
              <w:rPr>
                <w:rFonts w:ascii="Calibri" w:hAnsi="Calibri" w:cs="Calibri"/>
                <w:color w:val="FF0000"/>
                <w:lang w:eastAsia="nl-NL"/>
              </w:rPr>
            </w:pPr>
            <w:r w:rsidRPr="00FF1C3C">
              <w:rPr>
                <w:rFonts w:ascii="Calibri" w:hAnsi="Calibri" w:cs="Calibri"/>
                <w:color w:val="FF0000"/>
                <w:lang w:eastAsia="nl-NL"/>
              </w:rPr>
              <w:t> </w:t>
            </w:r>
          </w:p>
        </w:tc>
        <w:tc>
          <w:tcPr>
            <w:tcW w:w="347"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1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6"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34"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r>
      <w:tr w:rsidR="00374656" w:rsidRPr="00FF1C3C" w:rsidTr="00842650">
        <w:trPr>
          <w:trHeight w:val="752"/>
        </w:trPr>
        <w:tc>
          <w:tcPr>
            <w:tcW w:w="5128" w:type="dxa"/>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6) Zal de toenemende internationale vergelijkbaarheid van de jaarrekeningen onder de IFRS for SMEs voordelen opleveren voor de gebruikers?</w:t>
            </w:r>
          </w:p>
        </w:tc>
        <w:tc>
          <w:tcPr>
            <w:tcW w:w="368"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8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297"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2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03"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8"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4"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50"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75"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7"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411"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56"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34" w:type="dxa"/>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FF000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61"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98"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c>
          <w:tcPr>
            <w:tcW w:w="349" w:type="dxa"/>
            <w:shd w:val="clear" w:color="000000" w:fill="00B050"/>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w:t>
            </w:r>
          </w:p>
        </w:tc>
      </w:tr>
    </w:tbl>
    <w:tbl>
      <w:tblPr>
        <w:tblpPr w:leftFromText="141" w:rightFromText="141" w:vertAnchor="page" w:horzAnchor="margin" w:tblpY="7141"/>
        <w:tblW w:w="7346" w:type="dxa"/>
        <w:tblCellMar>
          <w:left w:w="70" w:type="dxa"/>
          <w:right w:w="70" w:type="dxa"/>
        </w:tblCellMar>
        <w:tblLook w:val="0000"/>
      </w:tblPr>
      <w:tblGrid>
        <w:gridCol w:w="1425"/>
        <w:gridCol w:w="1117"/>
        <w:gridCol w:w="1286"/>
        <w:gridCol w:w="1117"/>
        <w:gridCol w:w="1953"/>
        <w:gridCol w:w="448"/>
      </w:tblGrid>
      <w:tr w:rsidR="00374656" w:rsidRPr="00FF1C3C" w:rsidTr="00842650">
        <w:trPr>
          <w:trHeight w:val="231"/>
        </w:trPr>
        <w:tc>
          <w:tcPr>
            <w:tcW w:w="7346" w:type="dxa"/>
            <w:gridSpan w:val="6"/>
            <w:tcBorders>
              <w:top w:val="nil"/>
              <w:left w:val="nil"/>
              <w:bottom w:val="nil"/>
              <w:right w:val="nil"/>
            </w:tcBorders>
            <w:noWrap/>
            <w:vAlign w:val="bottom"/>
          </w:tcPr>
          <w:p w:rsidR="00374656" w:rsidRPr="00FF1C3C" w:rsidRDefault="00374656" w:rsidP="00842650">
            <w:pPr>
              <w:spacing w:after="0" w:line="240" w:lineRule="auto"/>
              <w:jc w:val="center"/>
              <w:rPr>
                <w:rFonts w:ascii="Calibri" w:hAnsi="Calibri" w:cs="Calibri"/>
                <w:color w:val="000000"/>
                <w:lang w:eastAsia="nl-NL"/>
              </w:rPr>
            </w:pPr>
          </w:p>
          <w:p w:rsidR="00374656" w:rsidRPr="00FF1C3C" w:rsidRDefault="00374656" w:rsidP="00842650">
            <w:pPr>
              <w:spacing w:after="0" w:line="240" w:lineRule="auto"/>
              <w:rPr>
                <w:rFonts w:ascii="Calibri" w:hAnsi="Calibri" w:cs="Calibri"/>
                <w:color w:val="000000"/>
                <w:u w:val="single"/>
                <w:lang w:eastAsia="nl-NL"/>
              </w:rPr>
            </w:pPr>
            <w:r w:rsidRPr="00FF1C3C">
              <w:rPr>
                <w:rFonts w:ascii="Calibri" w:hAnsi="Calibri" w:cs="Calibri"/>
                <w:color w:val="000000"/>
                <w:u w:val="single"/>
                <w:lang w:eastAsia="nl-NL"/>
              </w:rPr>
              <w:t>Afkortingen van landen</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xml:space="preserve">België </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 xml:space="preserve">Be </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Hongarije</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HU</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Polen</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PL</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Bulgarije</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BG</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Ierland</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IE</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Portugal</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PT</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Cyprus</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CY</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Italië</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IT</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Roemenië</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RO</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Denemarken</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DK</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Letland</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LV</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Slowakije</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SK</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Duitsland</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DE</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Litouwen</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LT</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Slovenië</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SL</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en-US" w:eastAsia="nl-NL"/>
              </w:rPr>
            </w:pPr>
            <w:r w:rsidRPr="00FF1C3C">
              <w:rPr>
                <w:rFonts w:ascii="Calibri" w:hAnsi="Calibri" w:cs="Calibri"/>
                <w:color w:val="000000"/>
                <w:lang w:val="en-US" w:eastAsia="nl-NL"/>
              </w:rPr>
              <w:t>Estland</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EE</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Luxemburg</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LU</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Spanje</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ES</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Finland</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val="fr-FR" w:eastAsia="nl-NL"/>
              </w:rPr>
            </w:pPr>
            <w:r w:rsidRPr="00FF1C3C">
              <w:rPr>
                <w:rFonts w:ascii="Calibri" w:hAnsi="Calibri" w:cs="Calibri"/>
                <w:color w:val="000000"/>
                <w:lang w:val="fr-FR" w:eastAsia="nl-NL"/>
              </w:rPr>
              <w:t>FI</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Malta</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MT</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Tsjechië</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CZ</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Frankrijk</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FR</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Nederlands</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NL</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Verenigd koninkrijk</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UK</w:t>
            </w:r>
          </w:p>
        </w:tc>
      </w:tr>
      <w:tr w:rsidR="00374656" w:rsidRPr="00FF1C3C" w:rsidTr="00842650">
        <w:trPr>
          <w:trHeight w:val="231"/>
        </w:trPr>
        <w:tc>
          <w:tcPr>
            <w:tcW w:w="1425"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Griekenland</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EL</w:t>
            </w:r>
          </w:p>
        </w:tc>
        <w:tc>
          <w:tcPr>
            <w:tcW w:w="1286"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Oostenrijk</w:t>
            </w:r>
          </w:p>
        </w:tc>
        <w:tc>
          <w:tcPr>
            <w:tcW w:w="1117"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AT</w:t>
            </w:r>
          </w:p>
        </w:tc>
        <w:tc>
          <w:tcPr>
            <w:tcW w:w="1953"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Zweden</w:t>
            </w:r>
          </w:p>
        </w:tc>
        <w:tc>
          <w:tcPr>
            <w:tcW w:w="448" w:type="dxa"/>
            <w:tcBorders>
              <w:top w:val="nil"/>
              <w:left w:val="nil"/>
              <w:bottom w:val="nil"/>
              <w:right w:val="nil"/>
            </w:tcBorders>
            <w:noWrap/>
            <w:vAlign w:val="bottom"/>
          </w:tcPr>
          <w:p w:rsidR="00374656" w:rsidRPr="00FF1C3C" w:rsidRDefault="00374656" w:rsidP="00842650">
            <w:pPr>
              <w:spacing w:after="0" w:line="240" w:lineRule="auto"/>
              <w:rPr>
                <w:rFonts w:ascii="Calibri" w:hAnsi="Calibri" w:cs="Calibri"/>
                <w:color w:val="000000"/>
                <w:lang w:eastAsia="nl-NL"/>
              </w:rPr>
            </w:pPr>
            <w:r w:rsidRPr="00FF1C3C">
              <w:rPr>
                <w:rFonts w:ascii="Calibri" w:hAnsi="Calibri" w:cs="Calibri"/>
                <w:color w:val="000000"/>
                <w:lang w:eastAsia="nl-NL"/>
              </w:rPr>
              <w:t>SE</w:t>
            </w:r>
          </w:p>
        </w:tc>
      </w:tr>
    </w:tbl>
    <w:p w:rsidR="00374656" w:rsidRDefault="00374656" w:rsidP="001E23EF">
      <w:pPr>
        <w:spacing w:before="240"/>
      </w:pPr>
      <w:r>
        <w:rPr>
          <w:noProof/>
          <w:lang w:val="en-US"/>
        </w:rPr>
        <w:pict>
          <v:rect id="_x0000_s1030" style="position:absolute;left:0;text-align:left;margin-left:100.6pt;margin-top:297.2pt;width:24pt;height:15.55pt;z-index:251659264;mso-position-horizontal-relative:text;mso-position-vertical-relative:text" fillcolor="#00b050"/>
        </w:pict>
      </w:r>
      <w:r>
        <w:t xml:space="preserve">                                                    Meerderheid van de respondenten antwoorden ‘ja’.</w:t>
      </w:r>
    </w:p>
    <w:p w:rsidR="00374656" w:rsidRDefault="00374656" w:rsidP="001E23EF">
      <w:pPr>
        <w:spacing w:before="240"/>
        <w:ind w:left="4956" w:firstLine="708"/>
      </w:pPr>
      <w:r>
        <w:rPr>
          <w:noProof/>
          <w:lang w:val="en-US"/>
        </w:rPr>
        <w:pict>
          <v:rect id="_x0000_s1031" style="position:absolute;left:0;text-align:left;margin-left:100.6pt;margin-top:1.6pt;width:24pt;height:15.55pt;z-index:251660288" fillcolor="red"/>
        </w:pict>
      </w:r>
      <w:r>
        <w:t xml:space="preserve">                                      Meerderheid van de respondenten antwoorden ‘nee’.</w:t>
      </w:r>
    </w:p>
    <w:p w:rsidR="00374656" w:rsidRDefault="00374656" w:rsidP="001E23EF">
      <w:pPr>
        <w:tabs>
          <w:tab w:val="left" w:pos="851"/>
        </w:tabs>
        <w:spacing w:before="240"/>
        <w:ind w:firstLine="708"/>
      </w:pPr>
      <w:r>
        <w:t xml:space="preserve">                    </w:t>
      </w:r>
    </w:p>
    <w:p w:rsidR="00374656" w:rsidRDefault="00374656" w:rsidP="001E23EF">
      <w:pPr>
        <w:tabs>
          <w:tab w:val="left" w:pos="851"/>
        </w:tabs>
      </w:pPr>
      <w:r>
        <w:tab/>
      </w:r>
    </w:p>
    <w:p w:rsidR="00374656" w:rsidRDefault="00374656" w:rsidP="001E23EF">
      <w:pPr>
        <w:tabs>
          <w:tab w:val="left" w:pos="851"/>
        </w:tabs>
      </w:pPr>
    </w:p>
    <w:p w:rsidR="00374656" w:rsidRDefault="00374656" w:rsidP="001E23EF">
      <w:pPr>
        <w:pStyle w:val="Heading1"/>
      </w:pPr>
      <w:bookmarkStart w:id="71" w:name="_Toc296778042"/>
      <w:r>
        <w:t>Bijlage C: Samenvatting hoofdstuk 4</w:t>
      </w:r>
      <w:bookmarkEnd w:id="71"/>
    </w:p>
    <w:tbl>
      <w:tblPr>
        <w:tblW w:w="15877" w:type="dxa"/>
        <w:tblInd w:w="-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60"/>
        <w:gridCol w:w="2644"/>
        <w:gridCol w:w="3120"/>
        <w:gridCol w:w="2457"/>
        <w:gridCol w:w="2835"/>
        <w:gridCol w:w="3261"/>
      </w:tblGrid>
      <w:tr w:rsidR="00374656" w:rsidRPr="00FF1C3C" w:rsidTr="001E23EF">
        <w:trPr>
          <w:trHeight w:val="190"/>
        </w:trPr>
        <w:tc>
          <w:tcPr>
            <w:tcW w:w="15877" w:type="dxa"/>
            <w:gridSpan w:val="6"/>
            <w:noWrap/>
            <w:vAlign w:val="bottom"/>
          </w:tcPr>
          <w:p w:rsidR="00374656" w:rsidRPr="00FF1C3C" w:rsidRDefault="00374656" w:rsidP="00842650">
            <w:pPr>
              <w:spacing w:after="0" w:line="360" w:lineRule="auto"/>
              <w:jc w:val="center"/>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Samenvatting resultaten hoofdstuk 4: De verschillende zienswijzen in Europa</w:t>
            </w:r>
          </w:p>
        </w:tc>
      </w:tr>
      <w:tr w:rsidR="00374656" w:rsidRPr="00FF1C3C" w:rsidTr="001E23EF">
        <w:trPr>
          <w:trHeight w:val="190"/>
        </w:trPr>
        <w:tc>
          <w:tcPr>
            <w:tcW w:w="1560" w:type="dxa"/>
            <w:noWrap/>
          </w:tcPr>
          <w:p w:rsidR="00374656" w:rsidRPr="00FF1C3C" w:rsidRDefault="00374656" w:rsidP="00842650">
            <w:pPr>
              <w:spacing w:after="0" w:line="240" w:lineRule="auto"/>
              <w:rPr>
                <w:rFonts w:ascii="Calibri" w:hAnsi="Calibri" w:cs="Calibri"/>
                <w:color w:val="000000"/>
                <w:sz w:val="18"/>
                <w:szCs w:val="18"/>
                <w:lang w:eastAsia="nl-NL"/>
              </w:rPr>
            </w:pPr>
          </w:p>
        </w:tc>
        <w:tc>
          <w:tcPr>
            <w:tcW w:w="2644" w:type="dxa"/>
            <w:noWrap/>
          </w:tcPr>
          <w:p w:rsidR="00374656" w:rsidRPr="00FF1C3C" w:rsidRDefault="00374656" w:rsidP="00842650">
            <w:pPr>
              <w:spacing w:after="0" w:line="240" w:lineRule="auto"/>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Nederland</w:t>
            </w:r>
          </w:p>
        </w:tc>
        <w:tc>
          <w:tcPr>
            <w:tcW w:w="3120" w:type="dxa"/>
            <w:noWrap/>
          </w:tcPr>
          <w:p w:rsidR="00374656" w:rsidRPr="00FF1C3C" w:rsidRDefault="00374656" w:rsidP="00842650">
            <w:pPr>
              <w:spacing w:after="0" w:line="240" w:lineRule="auto"/>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Duitsland</w:t>
            </w:r>
          </w:p>
        </w:tc>
        <w:tc>
          <w:tcPr>
            <w:tcW w:w="2457" w:type="dxa"/>
            <w:noWrap/>
          </w:tcPr>
          <w:p w:rsidR="00374656" w:rsidRPr="00FF1C3C" w:rsidRDefault="00374656" w:rsidP="00842650">
            <w:pPr>
              <w:spacing w:after="0" w:line="240" w:lineRule="auto"/>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Frankrijk en Italië</w:t>
            </w:r>
          </w:p>
        </w:tc>
        <w:tc>
          <w:tcPr>
            <w:tcW w:w="2835" w:type="dxa"/>
            <w:noWrap/>
          </w:tcPr>
          <w:p w:rsidR="00374656" w:rsidRPr="00FF1C3C" w:rsidRDefault="00374656" w:rsidP="00842650">
            <w:pPr>
              <w:spacing w:after="0" w:line="240" w:lineRule="auto"/>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Verenigd Koninkrijk</w:t>
            </w:r>
          </w:p>
        </w:tc>
        <w:tc>
          <w:tcPr>
            <w:tcW w:w="3261" w:type="dxa"/>
            <w:noWrap/>
          </w:tcPr>
          <w:p w:rsidR="00374656" w:rsidRPr="00FF1C3C" w:rsidRDefault="00374656" w:rsidP="00842650">
            <w:pPr>
              <w:spacing w:after="0" w:line="240" w:lineRule="auto"/>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Zweden</w:t>
            </w:r>
          </w:p>
        </w:tc>
      </w:tr>
      <w:tr w:rsidR="00374656" w:rsidRPr="00FF1C3C" w:rsidTr="001E23EF">
        <w:trPr>
          <w:trHeight w:val="1709"/>
        </w:trPr>
        <w:tc>
          <w:tcPr>
            <w:tcW w:w="1560" w:type="dxa"/>
            <w:noWrap/>
          </w:tcPr>
          <w:p w:rsidR="00374656" w:rsidRPr="00FF1C3C" w:rsidRDefault="00374656" w:rsidP="00842650">
            <w:pPr>
              <w:spacing w:after="0" w:line="240" w:lineRule="auto"/>
              <w:jc w:val="left"/>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Cultuur</w:t>
            </w:r>
          </w:p>
        </w:tc>
        <w:tc>
          <w:tcPr>
            <w:tcW w:w="2644"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Bepalingen en regels van de IFRS for SMEs moeten overeen komen met de bepalingen en regels van de Nederlandse Gaap (PWC, 2010). Nederland is van plan om de standaard toe te passen of te verplichten. </w:t>
            </w:r>
            <w:r w:rsidRPr="00FF1C3C">
              <w:rPr>
                <w:rFonts w:ascii="Calibri" w:hAnsi="Calibri" w:cs="Calibri"/>
                <w:i/>
                <w:iCs/>
                <w:color w:val="000000"/>
                <w:sz w:val="18"/>
                <w:szCs w:val="18"/>
                <w:lang w:eastAsia="nl-NL"/>
              </w:rPr>
              <w:t>Positieve kijk op de IFRS for SMEs komt overeen met de veronderstellingen van Gray (Europese commissie, 2010).</w:t>
            </w:r>
          </w:p>
        </w:tc>
        <w:tc>
          <w:tcPr>
            <w:tcW w:w="3120"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Duitsland wordt gekenmerkt door een roman-law land. Er is behoefte aan een meer rules-based en uniforme standaard (Europese Commissie, 2010). Bovendien zijn veel commentaren omtrent de reële waarde waardering en de uitbreiding van de vereiste informatie (Eierle en Haller, 2007). </w:t>
            </w:r>
            <w:r w:rsidRPr="00FF1C3C">
              <w:rPr>
                <w:rFonts w:ascii="Calibri" w:hAnsi="Calibri" w:cs="Calibri"/>
                <w:i/>
                <w:iCs/>
                <w:color w:val="000000"/>
                <w:sz w:val="18"/>
                <w:szCs w:val="18"/>
                <w:lang w:eastAsia="nl-NL"/>
              </w:rPr>
              <w:t>Negatieve perceptie komt overeen met de veronderstelling van Gray.</w:t>
            </w:r>
          </w:p>
        </w:tc>
        <w:tc>
          <w:tcPr>
            <w:tcW w:w="2457"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De IFRS for SMEs is niet toegestaan (PWC, 2010) en ook niet gepland (EFRAG, 2009). </w:t>
            </w:r>
            <w:r w:rsidRPr="00FF1C3C">
              <w:rPr>
                <w:rFonts w:ascii="Calibri" w:hAnsi="Calibri" w:cs="Calibri"/>
                <w:i/>
                <w:iCs/>
                <w:color w:val="000000"/>
                <w:sz w:val="18"/>
                <w:szCs w:val="18"/>
                <w:lang w:eastAsia="nl-NL"/>
              </w:rPr>
              <w:t>Negatieve perceptie is in lijn met de veronderstelling van Gray (CNC, 2007; Europese Commissie, 2010) .</w:t>
            </w:r>
            <w:r w:rsidRPr="00FF1C3C">
              <w:rPr>
                <w:rFonts w:ascii="Calibri" w:hAnsi="Calibri" w:cs="Calibri"/>
                <w:color w:val="000000"/>
                <w:sz w:val="18"/>
                <w:szCs w:val="18"/>
                <w:lang w:eastAsia="nl-NL"/>
              </w:rPr>
              <w:t xml:space="preserve"> </w:t>
            </w:r>
          </w:p>
        </w:tc>
        <w:tc>
          <w:tcPr>
            <w:tcW w:w="2835"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Er is steun voor het convergentieproces van de UK GAAP met de IFRS (ACCA, 2011; Mazars 2008). Bovendien is er geen bezwaar tegen de standaard (Sleigh-Johnson en Shearer, 2009). De ASB wil de standaard invoeren mits enkele aanpassingen worden aangebracht (ACCA, 2011). </w:t>
            </w:r>
            <w:r w:rsidRPr="00FF1C3C">
              <w:rPr>
                <w:rFonts w:ascii="Calibri" w:hAnsi="Calibri" w:cs="Calibri"/>
                <w:i/>
                <w:iCs/>
                <w:color w:val="000000"/>
                <w:sz w:val="18"/>
                <w:szCs w:val="18"/>
                <w:lang w:eastAsia="nl-NL"/>
              </w:rPr>
              <w:t>Positieve kijk komt overeen met de veronderstelling van Gray.</w:t>
            </w:r>
          </w:p>
        </w:tc>
        <w:tc>
          <w:tcPr>
            <w:tcW w:w="3261"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Evenals de veronderstelling van Gray, resulteert uit de reacties van de Europese Commissie een positief beeld. Daarentegen resulteren uit andere onderzoeken (Aamir en Farooq, 2010; Göransson 2008) een meer negatief beeld. De SMEs zijn tevreden met de huidige Zweedse GAAP en vinden de IFRS for SMEs niet geschikt. </w:t>
            </w:r>
          </w:p>
        </w:tc>
      </w:tr>
      <w:tr w:rsidR="00374656" w:rsidRPr="00FF1C3C" w:rsidTr="001E23EF">
        <w:trPr>
          <w:trHeight w:val="959"/>
        </w:trPr>
        <w:tc>
          <w:tcPr>
            <w:tcW w:w="1560" w:type="dxa"/>
            <w:noWrap/>
          </w:tcPr>
          <w:p w:rsidR="00374656" w:rsidRPr="00FF1C3C" w:rsidRDefault="00374656" w:rsidP="00842650">
            <w:pPr>
              <w:spacing w:after="0" w:line="240" w:lineRule="auto"/>
              <w:jc w:val="left"/>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Belastingregulatie</w:t>
            </w:r>
          </w:p>
        </w:tc>
        <w:tc>
          <w:tcPr>
            <w:tcW w:w="2644"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Onafhankelijke benadering (PWC, 2010): invoering standaard geen invloed tenzij sprake is van 'samenval'.</w:t>
            </w:r>
          </w:p>
        </w:tc>
        <w:tc>
          <w:tcPr>
            <w:tcW w:w="3120"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Afhankelijke benadering (PWC , 2010): groot bezwaar tegen invoering door de kosten zoals dubbele boekhouding (Eierle en Haller, 2007; Göransson 2008).</w:t>
            </w:r>
          </w:p>
        </w:tc>
        <w:tc>
          <w:tcPr>
            <w:tcW w:w="2457"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Quasi-afhankelijke benadering (PWC, 2010): sterke invloed Italiaanse belastingregulatie op verslaggeving (Baldarelli et al., 2007). De link wordt minder sterk waargenomen in Frankrijk (Mazars, 2008). </w:t>
            </w:r>
          </w:p>
        </w:tc>
        <w:tc>
          <w:tcPr>
            <w:tcW w:w="2835"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Quasi-afhankelijke benadering: Ondanks dat de link sterk wordt waargenomen, zijn de SMEs toch voor de invoering van de IFRS omdat de relevantie van de jaarrekening toeneemt voor het management (Mazars, 2008). </w:t>
            </w:r>
          </w:p>
        </w:tc>
        <w:tc>
          <w:tcPr>
            <w:tcW w:w="3261"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Afhankelijke benadering (PWC, 2010): Zweedse verslaggeving sterk gerelateerd aan de Zweedse belastingregulatie (Göransson, 2008). Door de toenemende complexiteit zullen ondernemingen de Zweedse GAAP eerder gebruiken dan de IFRS for SMEs (Aamir en Farooq, 2010). </w:t>
            </w:r>
          </w:p>
        </w:tc>
      </w:tr>
      <w:tr w:rsidR="00374656" w:rsidRPr="00FF1C3C" w:rsidTr="001E23EF">
        <w:trPr>
          <w:trHeight w:val="2259"/>
        </w:trPr>
        <w:tc>
          <w:tcPr>
            <w:tcW w:w="1560" w:type="dxa"/>
          </w:tcPr>
          <w:p w:rsidR="00374656" w:rsidRPr="00FF1C3C" w:rsidRDefault="00374656" w:rsidP="00842650">
            <w:pPr>
              <w:spacing w:after="0" w:line="240" w:lineRule="auto"/>
              <w:jc w:val="left"/>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Gebruikers van de financiële verslagen (Gerangschikt door Mazars, 2008)</w:t>
            </w:r>
          </w:p>
        </w:tc>
        <w:tc>
          <w:tcPr>
            <w:tcW w:w="2644"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De belangrijkste gebruikers: banken, belastingautoriteiten, aandeelhouders en het management. Er is sprake van een positieve kijk (Europese Commissie, 2010)</w:t>
            </w:r>
          </w:p>
        </w:tc>
        <w:tc>
          <w:tcPr>
            <w:tcW w:w="3120"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De belangrijkste gebruikers: eigenaren, banken, managers en belastingautoriteiten (Eierle en Haller, 2007) Behoeften van banken en belastingautoriteiten worden niet meegenomen in de standaard. Banken hebben negatieve invloed op de invoering van de IFRS (Guenther et al., 2009), dat kan ook worden vermoed bij de invoering van de IFRS for SMEs.</w:t>
            </w:r>
          </w:p>
          <w:p w:rsidR="00374656" w:rsidRPr="00FF1C3C" w:rsidRDefault="00374656" w:rsidP="00842650">
            <w:pPr>
              <w:spacing w:after="0" w:line="240" w:lineRule="auto"/>
              <w:jc w:val="left"/>
              <w:rPr>
                <w:rFonts w:ascii="Calibri" w:hAnsi="Calibri" w:cs="Calibri"/>
                <w:color w:val="000000"/>
                <w:sz w:val="18"/>
                <w:szCs w:val="18"/>
                <w:lang w:eastAsia="nl-NL"/>
              </w:rPr>
            </w:pPr>
          </w:p>
        </w:tc>
        <w:tc>
          <w:tcPr>
            <w:tcW w:w="2457"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De belangrijkste gebruikers: banken, belastingautoriteiten, aandeelhouders en het management in Italië. In Frankrijk: belastingautoriteiten, banken, aandeelhouders en het management. Er is sprake van een negatieve kijk (Europese Commissie, 2010). </w:t>
            </w:r>
          </w:p>
        </w:tc>
        <w:tc>
          <w:tcPr>
            <w:tcW w:w="2835"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De belangrijkste gebruikers: banken, het management, aandeelhouders en belastingautoriteiten. Er sprake van een positieve kijk (Europese Commissie, 2010).</w:t>
            </w:r>
          </w:p>
        </w:tc>
        <w:tc>
          <w:tcPr>
            <w:tcW w:w="3261"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De belangrijkste gebruikers: banken (Aamir en Farooq, 2010; Göransson, 2008). Vanuit het perspectief van de banken is geen behoefte aan de IFRS for SMEs. </w:t>
            </w:r>
          </w:p>
        </w:tc>
      </w:tr>
      <w:tr w:rsidR="00374656" w:rsidRPr="00FF1C3C" w:rsidTr="001E23EF">
        <w:trPr>
          <w:trHeight w:val="949"/>
        </w:trPr>
        <w:tc>
          <w:tcPr>
            <w:tcW w:w="1560" w:type="dxa"/>
            <w:noWrap/>
          </w:tcPr>
          <w:p w:rsidR="00374656" w:rsidRPr="00FF1C3C" w:rsidRDefault="00374656" w:rsidP="00842650">
            <w:pPr>
              <w:spacing w:after="0" w:line="240" w:lineRule="auto"/>
              <w:jc w:val="left"/>
              <w:rPr>
                <w:rFonts w:ascii="Calibri" w:hAnsi="Calibri" w:cs="Calibri"/>
                <w:b/>
                <w:bCs/>
                <w:color w:val="000000"/>
                <w:sz w:val="18"/>
                <w:szCs w:val="18"/>
                <w:lang w:eastAsia="nl-NL"/>
              </w:rPr>
            </w:pPr>
            <w:r w:rsidRPr="00FF1C3C">
              <w:rPr>
                <w:rFonts w:ascii="Calibri" w:hAnsi="Calibri" w:cs="Calibri"/>
                <w:b/>
                <w:bCs/>
                <w:color w:val="000000"/>
                <w:sz w:val="18"/>
                <w:szCs w:val="18"/>
                <w:lang w:eastAsia="nl-NL"/>
              </w:rPr>
              <w:t>kosten- en batenanalyse</w:t>
            </w:r>
          </w:p>
        </w:tc>
        <w:tc>
          <w:tcPr>
            <w:tcW w:w="2644"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Algemene kosten en baten als gevolg van de invoering. Belang van bevordering van de concurrentiepositie (De Kimpe en Manschot, 2009)</w:t>
            </w:r>
          </w:p>
        </w:tc>
        <w:tc>
          <w:tcPr>
            <w:tcW w:w="3120"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De kosten overtreffen de baten. Er zijn met name problemen met de verandering van de verslaggevingsystemen (Eierle en Haller, 2007)</w:t>
            </w:r>
          </w:p>
        </w:tc>
        <w:tc>
          <w:tcPr>
            <w:tcW w:w="2457"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Algemene kosten en baten als gevolg van de invoering (CNC, 2008; Mazars, 2008. </w:t>
            </w:r>
          </w:p>
        </w:tc>
        <w:tc>
          <w:tcPr>
            <w:tcW w:w="2835"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 xml:space="preserve">Algemene kosten en baten als gevolg van de invoering van de standaard (ACCA, 2008; Mazars, 2008). </w:t>
            </w:r>
          </w:p>
        </w:tc>
        <w:tc>
          <w:tcPr>
            <w:tcW w:w="3261" w:type="dxa"/>
          </w:tcPr>
          <w:p w:rsidR="00374656" w:rsidRPr="00FF1C3C" w:rsidRDefault="00374656" w:rsidP="00842650">
            <w:pPr>
              <w:spacing w:after="0" w:line="240" w:lineRule="auto"/>
              <w:jc w:val="left"/>
              <w:rPr>
                <w:rFonts w:ascii="Calibri" w:hAnsi="Calibri" w:cs="Calibri"/>
                <w:color w:val="000000"/>
                <w:sz w:val="18"/>
                <w:szCs w:val="18"/>
                <w:lang w:eastAsia="nl-NL"/>
              </w:rPr>
            </w:pPr>
            <w:r w:rsidRPr="00FF1C3C">
              <w:rPr>
                <w:rFonts w:ascii="Calibri" w:hAnsi="Calibri" w:cs="Calibri"/>
                <w:color w:val="000000"/>
                <w:sz w:val="18"/>
                <w:szCs w:val="18"/>
                <w:lang w:eastAsia="nl-NL"/>
              </w:rPr>
              <w:t>Baten slechts op lange termijn. Slechts voor medium-sized ondernemingen en ondernemingen met lange termijn doelstellingen zal de standaard voordelen opleveren (Aamir en Farooq, 2010)</w:t>
            </w:r>
          </w:p>
        </w:tc>
      </w:tr>
    </w:tbl>
    <w:p w:rsidR="00374656" w:rsidRPr="001E23EF" w:rsidRDefault="00374656" w:rsidP="001E23EF"/>
    <w:sectPr w:rsidR="00374656" w:rsidRPr="001E23EF" w:rsidSect="001E23EF">
      <w:headerReference w:type="default" r:id="rId17"/>
      <w:footerReference w:type="default" r:id="rId18"/>
      <w:pgSz w:w="16838" w:h="11906" w:orient="landscape"/>
      <w:pgMar w:top="1418" w:right="536"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4656" w:rsidRDefault="00374656" w:rsidP="005B3D73">
      <w:pPr>
        <w:spacing w:after="0" w:line="240" w:lineRule="auto"/>
      </w:pPr>
      <w:r>
        <w:separator/>
      </w:r>
    </w:p>
  </w:endnote>
  <w:endnote w:type="continuationSeparator" w:id="1">
    <w:p w:rsidR="00374656" w:rsidRDefault="00374656" w:rsidP="005B3D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imesNewRomanPS-BoldMT">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656" w:rsidRDefault="00374656">
    <w:pPr>
      <w:pStyle w:val="Footer"/>
      <w:jc w:val="right"/>
    </w:pPr>
  </w:p>
  <w:p w:rsidR="00374656" w:rsidRDefault="00374656">
    <w:pPr>
      <w:pStyle w:val="Footer"/>
      <w:pBdr>
        <w:top w:val="single" w:sz="4" w:space="1" w:color="auto"/>
      </w:pBdr>
      <w:rPr>
        <w:lang w:val="en-US"/>
      </w:rPr>
    </w:pPr>
    <w:r>
      <w:rPr>
        <w:lang w:val="en-US"/>
      </w:rPr>
      <w:t>Financial Accounting &amp; Culture</w:t>
    </w:r>
    <w:r>
      <w:rPr>
        <w:lang w:val="en-US"/>
      </w:rPr>
      <w:tab/>
    </w:r>
    <w:r>
      <w:rPr>
        <w:lang w:val="en-US"/>
      </w:rPr>
      <w:tab/>
    </w:r>
    <w:r>
      <w:rPr>
        <w:lang w:val="en-US"/>
      </w:rPr>
      <w:fldChar w:fldCharType="begin"/>
    </w:r>
    <w:r>
      <w:rPr>
        <w:lang w:val="en-US"/>
      </w:rPr>
      <w:instrText xml:space="preserve"> PAGE   \* MERGEFORMAT </w:instrText>
    </w:r>
    <w:r>
      <w:rPr>
        <w:lang w:val="en-US"/>
      </w:rPr>
      <w:fldChar w:fldCharType="separate"/>
    </w:r>
    <w:r>
      <w:rPr>
        <w:noProof/>
        <w:lang w:val="en-US"/>
      </w:rPr>
      <w:t>42</w:t>
    </w:r>
    <w:r>
      <w:rPr>
        <w:lang w:val="en-US"/>
      </w:rPr>
      <w:fldChar w:fldCharType="end"/>
    </w:r>
    <w:r>
      <w:rPr>
        <w:lang w:val="en-US"/>
      </w:rPr>
      <w:tab/>
    </w:r>
    <w:r>
      <w:rPr>
        <w:lang w:val="en-US"/>
      </w:rPr>
      <w:tab/>
    </w:r>
    <w:r>
      <w:rPr>
        <w:lang w:val="en-US"/>
      </w:rPr>
      <w:tab/>
    </w:r>
    <w:r>
      <w:rPr>
        <w:lang w:val="en-US"/>
      </w:rPr>
      <w:tab/>
    </w:r>
    <w:r>
      <w:rPr>
        <w:lang w:val="en-US"/>
      </w:rPr>
      <w:tab/>
      <w:t xml:space="preserve"> </w:t>
    </w:r>
    <w:r>
      <w:rPr>
        <w:lang w:val="en-US"/>
      </w:rPr>
      <w:tab/>
    </w:r>
    <w:r>
      <w:rPr>
        <w:lang w:val="en-US"/>
      </w:rPr>
      <w:tab/>
    </w:r>
    <w:r>
      <w:rPr>
        <w:lang w:val="en-US"/>
      </w:rPr>
      <w:tab/>
    </w:r>
    <w:r>
      <w:rPr>
        <w:lang w:val="en-US"/>
      </w:rPr>
      <w:fldChar w:fldCharType="begin"/>
    </w:r>
    <w:r>
      <w:rPr>
        <w:lang w:val="en-US"/>
      </w:rPr>
      <w:instrText xml:space="preserve"> PAGE   \* MERGEFORMAT </w:instrText>
    </w:r>
    <w:r>
      <w:rPr>
        <w:lang w:val="en-US"/>
      </w:rPr>
      <w:fldChar w:fldCharType="separate"/>
    </w:r>
    <w:r>
      <w:rPr>
        <w:noProof/>
        <w:lang w:val="en-US"/>
      </w:rPr>
      <w:t>42</w:t>
    </w:r>
    <w:r>
      <w:rPr>
        <w:lang w:val="en-US"/>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656" w:rsidRDefault="00374656">
    <w:pPr>
      <w:pStyle w:val="Footer"/>
      <w:jc w:val="right"/>
    </w:pPr>
  </w:p>
  <w:p w:rsidR="00374656" w:rsidRPr="00A53469" w:rsidRDefault="00374656" w:rsidP="00DD5C77">
    <w:pPr>
      <w:pStyle w:val="Footer"/>
      <w:pBdr>
        <w:top w:val="single" w:sz="4" w:space="1" w:color="auto"/>
      </w:pBdr>
    </w:pPr>
    <w:r>
      <w:t>Financial Accounting &amp; C</w:t>
    </w:r>
    <w:r w:rsidRPr="00A53469">
      <w:t>ulture</w:t>
    </w:r>
    <w:r w:rsidRPr="00A53469">
      <w:tab/>
    </w:r>
    <w:r w:rsidRPr="00A53469">
      <w:tab/>
    </w:r>
    <w:r>
      <w:tab/>
    </w:r>
    <w:r>
      <w:tab/>
    </w:r>
    <w:r>
      <w:tab/>
    </w:r>
    <w:r>
      <w:tab/>
    </w:r>
    <w:r>
      <w:tab/>
    </w:r>
    <w:r>
      <w:tab/>
    </w:r>
    <w:r>
      <w:tab/>
    </w:r>
    <w:r>
      <w:tab/>
    </w:r>
    <w:fldSimple w:instr=" PAGE   \* MERGEFORMAT ">
      <w:r>
        <w:rPr>
          <w:noProof/>
        </w:rPr>
        <w:t>49</w:t>
      </w:r>
    </w:fldSimple>
    <w:r>
      <w:tab/>
    </w:r>
    <w:r>
      <w:tab/>
    </w:r>
    <w:r>
      <w:tab/>
    </w:r>
    <w:r>
      <w:tab/>
    </w:r>
    <w:r>
      <w:tab/>
      <w:t xml:space="preserve"> </w:t>
    </w:r>
    <w:r>
      <w:tab/>
    </w:r>
    <w:r>
      <w:tab/>
    </w: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4656" w:rsidRDefault="00374656" w:rsidP="005B3D73">
      <w:pPr>
        <w:spacing w:after="0" w:line="240" w:lineRule="auto"/>
      </w:pPr>
      <w:r>
        <w:separator/>
      </w:r>
    </w:p>
  </w:footnote>
  <w:footnote w:type="continuationSeparator" w:id="1">
    <w:p w:rsidR="00374656" w:rsidRDefault="00374656" w:rsidP="005B3D73">
      <w:pPr>
        <w:spacing w:after="0" w:line="240" w:lineRule="auto"/>
      </w:pPr>
      <w:r>
        <w:continuationSeparator/>
      </w:r>
    </w:p>
  </w:footnote>
  <w:footnote w:id="2">
    <w:p w:rsidR="00374656" w:rsidRDefault="00374656" w:rsidP="001E23EF">
      <w:pPr>
        <w:pStyle w:val="FootnoteText"/>
      </w:pPr>
      <w:r>
        <w:rPr>
          <w:rStyle w:val="FootnoteReference"/>
          <w:sz w:val="18"/>
          <w:szCs w:val="18"/>
        </w:rPr>
        <w:footnoteRef/>
      </w:r>
      <w:r>
        <w:rPr>
          <w:sz w:val="18"/>
          <w:szCs w:val="18"/>
        </w:rPr>
        <w:t xml:space="preserve"> Het Angelo-American model wordt gekenmerkt door het substance over form principe, professionele accountantsorganisaties en de nadruk op het belang van de kapitaalmarkten (Deegan en Unerman, 2006).</w:t>
      </w:r>
    </w:p>
  </w:footnote>
  <w:footnote w:id="3">
    <w:p w:rsidR="00374656" w:rsidRDefault="00374656" w:rsidP="001E23EF">
      <w:pPr>
        <w:pStyle w:val="FootnoteText"/>
      </w:pPr>
      <w:r>
        <w:rPr>
          <w:rStyle w:val="FootnoteReference"/>
        </w:rPr>
        <w:footnoteRef/>
      </w:r>
      <w:r>
        <w:t xml:space="preserve"> Hypothese 1: hoe hoger een land wordt gerangschikt in termen van individualisme en lager in termen van onzekerheidsmijding en machtsafstand, des te hoger de rang in termen van professionalism. </w:t>
      </w:r>
    </w:p>
    <w:p w:rsidR="00374656" w:rsidRDefault="00374656" w:rsidP="001E23EF">
      <w:pPr>
        <w:pStyle w:val="FootnoteText"/>
      </w:pPr>
      <w:r>
        <w:t>Hypothese 2: hoe hoger een land wordt gerangschikt in termen van onderzekerheidsmijding en machtsafstand en lager in termen van individualisme, des te hoger de rang in termen van uniformiteit.</w:t>
      </w:r>
    </w:p>
    <w:p w:rsidR="00374656" w:rsidRDefault="00374656" w:rsidP="001E23EF">
      <w:pPr>
        <w:pStyle w:val="FootnoteText"/>
      </w:pPr>
      <w:r>
        <w:t>Hypothese 3: hoe hoger een land wordt gerangschikt in termen van onzekerheidsmijding en lager in termen van individualisme en masculiniteit, des te hoger de rang in termen van conservatisme.</w:t>
      </w:r>
    </w:p>
    <w:p w:rsidR="00374656" w:rsidRDefault="00374656" w:rsidP="001E23EF">
      <w:pPr>
        <w:pStyle w:val="FootnoteText"/>
      </w:pPr>
      <w:r>
        <w:t>Hypothese 4: hoe hoger een land wordt gerangschikt in termen van onzekerheidsmijding en machtsafstand en lager in termen van individualisme en masculiniteit, des te hoger de rang in termen van secrecy.</w:t>
      </w:r>
    </w:p>
  </w:footnote>
  <w:footnote w:id="4">
    <w:p w:rsidR="00374656" w:rsidRDefault="00374656" w:rsidP="001E23EF">
      <w:pPr>
        <w:pStyle w:val="FootnoteText"/>
      </w:pPr>
      <w:r>
        <w:rPr>
          <w:rStyle w:val="FootnoteReference"/>
        </w:rPr>
        <w:footnoteRef/>
      </w:r>
      <w:r>
        <w:t xml:space="preserve"> Een samenvatting van de resultaten is te vinden in de bijlage (C). </w:t>
      </w:r>
    </w:p>
  </w:footnote>
  <w:footnote w:id="5">
    <w:p w:rsidR="00374656" w:rsidRDefault="00374656" w:rsidP="001E23EF">
      <w:pPr>
        <w:pStyle w:val="FootnoteText"/>
      </w:pPr>
      <w:r>
        <w:rPr>
          <w:rStyle w:val="FootnoteReference"/>
          <w:sz w:val="18"/>
          <w:szCs w:val="18"/>
        </w:rPr>
        <w:footnoteRef/>
      </w:r>
      <w:r>
        <w:rPr>
          <w:sz w:val="18"/>
          <w:szCs w:val="18"/>
        </w:rPr>
        <w:t xml:space="preserve"> De relevante resultaten zijn te vinden in de bijlage (B).</w:t>
      </w:r>
    </w:p>
  </w:footnote>
  <w:footnote w:id="6">
    <w:p w:rsidR="00374656" w:rsidRDefault="00374656" w:rsidP="001E23EF">
      <w:pPr>
        <w:pStyle w:val="FootnoteText"/>
      </w:pPr>
      <w:r>
        <w:rPr>
          <w:rStyle w:val="FootnoteReference"/>
          <w:sz w:val="18"/>
          <w:szCs w:val="18"/>
        </w:rPr>
        <w:footnoteRef/>
      </w:r>
      <w:r>
        <w:rPr>
          <w:sz w:val="18"/>
          <w:szCs w:val="18"/>
        </w:rPr>
        <w:t xml:space="preserve"> Zwitserland, Kroatië, Noorwegen en Oeganda.</w:t>
      </w:r>
    </w:p>
  </w:footnote>
  <w:footnote w:id="7">
    <w:p w:rsidR="00374656" w:rsidRDefault="00374656" w:rsidP="001E23EF">
      <w:pPr>
        <w:pStyle w:val="FootnoteText"/>
      </w:pPr>
      <w:r>
        <w:rPr>
          <w:rStyle w:val="FootnoteReference"/>
        </w:rPr>
        <w:footnoteRef/>
      </w:r>
      <w:r>
        <w:t xml:space="preserve"> Een internationale organisatie bestaande uit accountants, belastingadviseurs en management consultants (Mazars, website)</w:t>
      </w:r>
    </w:p>
  </w:footnote>
  <w:footnote w:id="8">
    <w:p w:rsidR="00374656" w:rsidRDefault="00374656" w:rsidP="001E23EF">
      <w:pPr>
        <w:pStyle w:val="FootnoteText"/>
      </w:pPr>
      <w:r>
        <w:rPr>
          <w:rStyle w:val="FootnoteReference"/>
        </w:rPr>
        <w:footnoteRef/>
      </w:r>
      <w:r>
        <w:t xml:space="preserve"> </w:t>
      </w:r>
      <w:r>
        <w:rPr>
          <w:sz w:val="18"/>
          <w:szCs w:val="18"/>
        </w:rPr>
        <w:t>De landen zijn: Argentinië, Australië, Barbados, Denemarken, Frankrijk, Duitsland, Indië, Italië, Kenya, Malawi, Maleisië, Nederland, Nigeria, Polen, Zuid-Afrika, Zuid-Korea, Tanzania, Tunesië, Verenigd Koninkrijk, en Verenigde Staten.</w:t>
      </w:r>
      <w:r>
        <w:t xml:space="preserve"> </w:t>
      </w:r>
    </w:p>
  </w:footnote>
  <w:footnote w:id="9">
    <w:p w:rsidR="00374656" w:rsidRDefault="00374656" w:rsidP="001E23EF">
      <w:pPr>
        <w:pStyle w:val="FootnoteText"/>
      </w:pPr>
      <w:r>
        <w:rPr>
          <w:rStyle w:val="FootnoteReference"/>
        </w:rPr>
        <w:footnoteRef/>
      </w:r>
      <w:r>
        <w:t xml:space="preserve"> Aan twee van de volgende criteria dient te worden voldoen: minder dan £6,5 miljoen omzet, £3,2 miljoen bezittingen en kleiner of gelijk aan 50 werknemers (ACCA, 2011).</w:t>
      </w:r>
    </w:p>
  </w:footnote>
  <w:footnote w:id="10">
    <w:p w:rsidR="00374656" w:rsidRDefault="00374656" w:rsidP="001E23EF">
      <w:pPr>
        <w:pStyle w:val="FootnoteText"/>
      </w:pPr>
      <w:r>
        <w:rPr>
          <w:rStyle w:val="FootnoteReference"/>
        </w:rPr>
        <w:footnoteRef/>
      </w:r>
      <w:r>
        <w:t xml:space="preserve"> De resultaten zijn te vinden in de bijlage (B).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656" w:rsidRDefault="00374656">
    <w:pPr>
      <w:pStyle w:val="Header"/>
      <w:pBdr>
        <w:bottom w:val="single" w:sz="4" w:space="1" w:color="auto"/>
      </w:pBdr>
      <w:rPr>
        <w:i/>
        <w:iCs/>
        <w:lang w:val="en-US"/>
      </w:rPr>
    </w:pPr>
    <w:r>
      <w:rPr>
        <w:lang w:val="en-US"/>
      </w:rPr>
      <w:tab/>
    </w:r>
    <w:r>
      <w:rPr>
        <w:lang w:val="en-US"/>
      </w:rPr>
      <w:tab/>
    </w:r>
    <w:r>
      <w:rPr>
        <w:i/>
        <w:iCs/>
        <w:lang w:val="en-US"/>
      </w:rPr>
      <w:t>Bachelorscriptie</w:t>
    </w:r>
    <w:r>
      <w:rPr>
        <w:lang w:val="en-US"/>
      </w:rPr>
      <w:tab/>
    </w:r>
    <w:r>
      <w:rPr>
        <w:lang w:val="en-US"/>
      </w:rPr>
      <w:tab/>
    </w:r>
    <w:r>
      <w:rPr>
        <w:lang w:val="en-US"/>
      </w:rPr>
      <w:tab/>
    </w:r>
    <w:r>
      <w:rPr>
        <w:lang w:val="en-US"/>
      </w:rPr>
      <w:tab/>
    </w:r>
    <w:r>
      <w:rPr>
        <w:lang w:val="en-US"/>
      </w:rPr>
      <w:tab/>
    </w:r>
    <w:r>
      <w:rPr>
        <w:i/>
        <w:iCs/>
        <w:lang w:val="en-US"/>
      </w:rPr>
      <w:t>Bachelorscriptie</w:t>
    </w:r>
    <w:r>
      <w:rPr>
        <w:i/>
        <w:iCs/>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656" w:rsidRPr="00A53469" w:rsidRDefault="00374656" w:rsidP="00DD5C77">
    <w:pPr>
      <w:pStyle w:val="Header"/>
      <w:pBdr>
        <w:bottom w:val="single" w:sz="4" w:space="1" w:color="auto"/>
      </w:pBdr>
      <w:rPr>
        <w:i/>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i/>
        <w:lang w:val="en-US"/>
      </w:rPr>
      <w:t>Bachelorscriptie</w:t>
    </w:r>
    <w:r w:rsidRPr="00842BF0">
      <w:rPr>
        <w:i/>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E48F9"/>
    <w:multiLevelType w:val="multilevel"/>
    <w:tmpl w:val="9D9CFF1A"/>
    <w:lvl w:ilvl="0">
      <w:start w:val="2"/>
      <w:numFmt w:val="decimal"/>
      <w:lvlText w:val="%1"/>
      <w:lvlJc w:val="left"/>
      <w:pPr>
        <w:ind w:left="435" w:hanging="435"/>
      </w:pPr>
      <w:rPr>
        <w:rFonts w:cs="Times New Roman" w:hint="default"/>
        <w:i/>
      </w:rPr>
    </w:lvl>
    <w:lvl w:ilvl="1">
      <w:start w:val="2"/>
      <w:numFmt w:val="decimal"/>
      <w:lvlText w:val="%1.%2"/>
      <w:lvlJc w:val="left"/>
      <w:pPr>
        <w:ind w:left="435" w:hanging="435"/>
      </w:pPr>
      <w:rPr>
        <w:rFonts w:cs="Times New Roman" w:hint="default"/>
        <w:i/>
      </w:rPr>
    </w:lvl>
    <w:lvl w:ilvl="2">
      <w:start w:val="3"/>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440" w:hanging="1440"/>
      </w:pPr>
      <w:rPr>
        <w:rFonts w:cs="Times New Roman" w:hint="default"/>
        <w:i/>
      </w:rPr>
    </w:lvl>
  </w:abstractNum>
  <w:abstractNum w:abstractNumId="1">
    <w:nsid w:val="04AF6CA5"/>
    <w:multiLevelType w:val="hybridMultilevel"/>
    <w:tmpl w:val="9AD68F7C"/>
    <w:lvl w:ilvl="0" w:tplc="B2DC3D1C">
      <w:start w:val="3"/>
      <w:numFmt w:val="bullet"/>
      <w:lvlText w:val="-"/>
      <w:lvlJc w:val="left"/>
      <w:pPr>
        <w:ind w:left="720" w:hanging="360"/>
      </w:pPr>
      <w:rPr>
        <w:rFonts w:ascii="Calibri" w:eastAsia="Times New Roman" w:hAnsi="Calibri"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6DC5A87"/>
    <w:multiLevelType w:val="multilevel"/>
    <w:tmpl w:val="8CCCF876"/>
    <w:lvl w:ilvl="0">
      <w:start w:val="4"/>
      <w:numFmt w:val="decimal"/>
      <w:lvlText w:val="%1"/>
      <w:lvlJc w:val="left"/>
      <w:pPr>
        <w:ind w:left="480" w:hanging="480"/>
      </w:pPr>
      <w:rPr>
        <w:rFonts w:cs="Times New Roman" w:hint="default"/>
      </w:rPr>
    </w:lvl>
    <w:lvl w:ilvl="1">
      <w:start w:val="2"/>
      <w:numFmt w:val="decimal"/>
      <w:lvlText w:val="%1.%2"/>
      <w:lvlJc w:val="left"/>
      <w:pPr>
        <w:ind w:left="480" w:hanging="480"/>
      </w:pPr>
      <w:rPr>
        <w:rFonts w:cs="Times New Roman" w:hint="default"/>
      </w:rPr>
    </w:lvl>
    <w:lvl w:ilvl="2">
      <w:start w:val="5"/>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084D16D3"/>
    <w:multiLevelType w:val="multilevel"/>
    <w:tmpl w:val="C672B6C0"/>
    <w:lvl w:ilvl="0">
      <w:start w:val="4"/>
      <w:numFmt w:val="decimal"/>
      <w:lvlText w:val="%1"/>
      <w:lvlJc w:val="left"/>
      <w:pPr>
        <w:ind w:left="480" w:hanging="480"/>
      </w:pPr>
      <w:rPr>
        <w:rFonts w:cs="Times New Roman" w:hint="default"/>
      </w:rPr>
    </w:lvl>
    <w:lvl w:ilvl="1">
      <w:start w:val="2"/>
      <w:numFmt w:val="decimal"/>
      <w:lvlText w:val="%1.%2"/>
      <w:lvlJc w:val="left"/>
      <w:pPr>
        <w:ind w:left="480" w:hanging="480"/>
      </w:pPr>
      <w:rPr>
        <w:rFonts w:cs="Times New Roman" w:hint="default"/>
      </w:rPr>
    </w:lvl>
    <w:lvl w:ilvl="2">
      <w:start w:val="5"/>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08695543"/>
    <w:multiLevelType w:val="multilevel"/>
    <w:tmpl w:val="6DEEBEFA"/>
    <w:lvl w:ilvl="0">
      <w:start w:val="4"/>
      <w:numFmt w:val="decimal"/>
      <w:lvlText w:val="%1"/>
      <w:lvlJc w:val="left"/>
      <w:pPr>
        <w:ind w:left="600" w:hanging="600"/>
      </w:pPr>
      <w:rPr>
        <w:rFonts w:cs="Times New Roman" w:hint="default"/>
      </w:rPr>
    </w:lvl>
    <w:lvl w:ilvl="1">
      <w:start w:val="2"/>
      <w:numFmt w:val="decimal"/>
      <w:lvlText w:val="%1.%2"/>
      <w:lvlJc w:val="left"/>
      <w:pPr>
        <w:ind w:left="600" w:hanging="600"/>
      </w:pPr>
      <w:rPr>
        <w:rFonts w:cs="Times New Roman" w:hint="default"/>
      </w:rPr>
    </w:lvl>
    <w:lvl w:ilvl="2">
      <w:start w:val="1"/>
      <w:numFmt w:val="decimal"/>
      <w:lvlText w:val="%1.%2.%3"/>
      <w:lvlJc w:val="left"/>
      <w:pPr>
        <w:ind w:left="720" w:hanging="720"/>
      </w:pPr>
      <w:rPr>
        <w:rFonts w:cs="Times New Roman" w:hint="default"/>
      </w:rPr>
    </w:lvl>
    <w:lvl w:ilvl="3">
      <w:start w:val="2"/>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5">
    <w:nsid w:val="09BC16A4"/>
    <w:multiLevelType w:val="multilevel"/>
    <w:tmpl w:val="67BAE39A"/>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6">
    <w:nsid w:val="09E249E5"/>
    <w:multiLevelType w:val="multilevel"/>
    <w:tmpl w:val="55FAB7F2"/>
    <w:lvl w:ilvl="0">
      <w:start w:val="3"/>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7">
    <w:nsid w:val="0A9E11AF"/>
    <w:multiLevelType w:val="hybridMultilevel"/>
    <w:tmpl w:val="36EA0F96"/>
    <w:lvl w:ilvl="0" w:tplc="1AF240B2">
      <w:start w:val="4"/>
      <w:numFmt w:val="bullet"/>
      <w:lvlText w:val="-"/>
      <w:lvlJc w:val="left"/>
      <w:pPr>
        <w:ind w:left="720" w:hanging="360"/>
      </w:pPr>
      <w:rPr>
        <w:rFonts w:ascii="Times New Roman" w:eastAsia="Times New Roman" w:hAnsi="Times New Roman"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0C891136"/>
    <w:multiLevelType w:val="hybridMultilevel"/>
    <w:tmpl w:val="F4C23D22"/>
    <w:lvl w:ilvl="0" w:tplc="1AF240B2">
      <w:start w:val="4"/>
      <w:numFmt w:val="bullet"/>
      <w:lvlText w:val="-"/>
      <w:lvlJc w:val="left"/>
      <w:pPr>
        <w:ind w:left="720" w:hanging="360"/>
      </w:pPr>
      <w:rPr>
        <w:rFonts w:ascii="Times New Roman" w:eastAsia="Times New Roman" w:hAnsi="Times New Roman"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57015B5"/>
    <w:multiLevelType w:val="hybridMultilevel"/>
    <w:tmpl w:val="B92074EE"/>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0B73AA8"/>
    <w:multiLevelType w:val="hybridMultilevel"/>
    <w:tmpl w:val="99C219A8"/>
    <w:lvl w:ilvl="0" w:tplc="4D4A5DC4">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29150C1"/>
    <w:multiLevelType w:val="multilevel"/>
    <w:tmpl w:val="678E4B46"/>
    <w:lvl w:ilvl="0">
      <w:start w:val="4"/>
      <w:numFmt w:val="decimal"/>
      <w:lvlText w:val="%1"/>
      <w:lvlJc w:val="left"/>
      <w:pPr>
        <w:ind w:left="480" w:hanging="480"/>
      </w:pPr>
      <w:rPr>
        <w:rFonts w:cs="Times New Roman" w:hint="default"/>
      </w:rPr>
    </w:lvl>
    <w:lvl w:ilvl="1">
      <w:start w:val="2"/>
      <w:numFmt w:val="decimal"/>
      <w:lvlText w:val="%1.%2"/>
      <w:lvlJc w:val="left"/>
      <w:pPr>
        <w:ind w:left="480" w:hanging="480"/>
      </w:pPr>
      <w:rPr>
        <w:rFonts w:cs="Times New Roman" w:hint="default"/>
      </w:rPr>
    </w:lvl>
    <w:lvl w:ilvl="2">
      <w:start w:val="5"/>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303A564E"/>
    <w:multiLevelType w:val="multilevel"/>
    <w:tmpl w:val="5D10CC18"/>
    <w:lvl w:ilvl="0">
      <w:start w:val="4"/>
      <w:numFmt w:val="decimal"/>
      <w:lvlText w:val="%1"/>
      <w:lvlJc w:val="left"/>
      <w:pPr>
        <w:ind w:left="480" w:hanging="480"/>
      </w:pPr>
      <w:rPr>
        <w:rFonts w:cs="Times New Roman" w:hint="default"/>
      </w:rPr>
    </w:lvl>
    <w:lvl w:ilvl="1">
      <w:start w:val="2"/>
      <w:numFmt w:val="decimal"/>
      <w:lvlText w:val="%1.%2"/>
      <w:lvlJc w:val="left"/>
      <w:pPr>
        <w:ind w:left="480" w:hanging="480"/>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3">
    <w:nsid w:val="34596988"/>
    <w:multiLevelType w:val="multilevel"/>
    <w:tmpl w:val="8312AE7E"/>
    <w:lvl w:ilvl="0">
      <w:start w:val="1"/>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36B50980"/>
    <w:multiLevelType w:val="multilevel"/>
    <w:tmpl w:val="30FCB8E2"/>
    <w:lvl w:ilvl="0">
      <w:start w:val="2"/>
      <w:numFmt w:val="decimal"/>
      <w:lvlText w:val="%1"/>
      <w:lvlJc w:val="left"/>
      <w:pPr>
        <w:ind w:left="435" w:hanging="435"/>
      </w:pPr>
      <w:rPr>
        <w:rFonts w:cs="Times New Roman" w:hint="default"/>
      </w:rPr>
    </w:lvl>
    <w:lvl w:ilvl="1">
      <w:start w:val="2"/>
      <w:numFmt w:val="decimal"/>
      <w:lvlText w:val="%1.%2"/>
      <w:lvlJc w:val="left"/>
      <w:pPr>
        <w:ind w:left="435" w:hanging="435"/>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nsid w:val="36C42968"/>
    <w:multiLevelType w:val="multilevel"/>
    <w:tmpl w:val="6B0AFBA8"/>
    <w:lvl w:ilvl="0">
      <w:start w:val="4"/>
      <w:numFmt w:val="decimal"/>
      <w:lvlText w:val="%1"/>
      <w:lvlJc w:val="left"/>
      <w:pPr>
        <w:ind w:left="480" w:hanging="480"/>
      </w:pPr>
      <w:rPr>
        <w:rFonts w:cs="Times New Roman" w:hint="default"/>
      </w:rPr>
    </w:lvl>
    <w:lvl w:ilvl="1">
      <w:start w:val="2"/>
      <w:numFmt w:val="decimal"/>
      <w:lvlText w:val="%1.%2"/>
      <w:lvlJc w:val="left"/>
      <w:pPr>
        <w:ind w:left="480" w:hanging="480"/>
      </w:pPr>
      <w:rPr>
        <w:rFonts w:cs="Times New Roman" w:hint="default"/>
      </w:rPr>
    </w:lvl>
    <w:lvl w:ilvl="2">
      <w:start w:val="5"/>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41132937"/>
    <w:multiLevelType w:val="hybridMultilevel"/>
    <w:tmpl w:val="DDB855C4"/>
    <w:lvl w:ilvl="0" w:tplc="1AF240B2">
      <w:start w:val="4"/>
      <w:numFmt w:val="bullet"/>
      <w:lvlText w:val="-"/>
      <w:lvlJc w:val="left"/>
      <w:pPr>
        <w:ind w:left="720" w:hanging="360"/>
      </w:pPr>
      <w:rPr>
        <w:rFonts w:ascii="Times New Roman" w:eastAsia="Times New Roman" w:hAnsi="Times New Roman"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46696CDF"/>
    <w:multiLevelType w:val="hybridMultilevel"/>
    <w:tmpl w:val="A26A27F6"/>
    <w:lvl w:ilvl="0" w:tplc="B438629E">
      <w:start w:val="2"/>
      <w:numFmt w:val="bullet"/>
      <w:lvlText w:val="-"/>
      <w:lvlJc w:val="left"/>
      <w:pPr>
        <w:ind w:left="720" w:hanging="360"/>
      </w:pPr>
      <w:rPr>
        <w:rFonts w:ascii="Calibri" w:eastAsia="Times New Roman" w:hAnsi="Calibri"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68809BB"/>
    <w:multiLevelType w:val="hybridMultilevel"/>
    <w:tmpl w:val="F1807808"/>
    <w:lvl w:ilvl="0" w:tplc="15640AA0">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A0B398E"/>
    <w:multiLevelType w:val="hybridMultilevel"/>
    <w:tmpl w:val="B26AFC66"/>
    <w:lvl w:ilvl="0" w:tplc="1DD01332">
      <w:start w:val="1"/>
      <w:numFmt w:val="upperRoman"/>
      <w:lvlText w:val="%1."/>
      <w:lvlJc w:val="left"/>
      <w:pPr>
        <w:ind w:left="720" w:hanging="720"/>
      </w:pPr>
      <w:rPr>
        <w:rFonts w:cs="Times New Roman" w:hint="default"/>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20">
    <w:nsid w:val="510A3DF0"/>
    <w:multiLevelType w:val="hybridMultilevel"/>
    <w:tmpl w:val="769487A2"/>
    <w:lvl w:ilvl="0" w:tplc="04130011">
      <w:start w:val="1"/>
      <w:numFmt w:val="decimal"/>
      <w:lvlText w:val="%1)"/>
      <w:lvlJc w:val="left"/>
      <w:pPr>
        <w:ind w:left="360" w:hanging="360"/>
      </w:pPr>
      <w:rPr>
        <w:rFonts w:cs="Times New Roman" w:hint="default"/>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21">
    <w:nsid w:val="52B95A2A"/>
    <w:multiLevelType w:val="hybridMultilevel"/>
    <w:tmpl w:val="8E12C366"/>
    <w:lvl w:ilvl="0" w:tplc="B2DC3D1C">
      <w:start w:val="3"/>
      <w:numFmt w:val="bullet"/>
      <w:lvlText w:val="-"/>
      <w:lvlJc w:val="left"/>
      <w:pPr>
        <w:ind w:left="720" w:hanging="360"/>
      </w:pPr>
      <w:rPr>
        <w:rFonts w:ascii="Calibri" w:eastAsia="Times New Roman" w:hAnsi="Calibri"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54766EEB"/>
    <w:multiLevelType w:val="multilevel"/>
    <w:tmpl w:val="FBCC43CE"/>
    <w:lvl w:ilvl="0">
      <w:start w:val="1"/>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5BB03054"/>
    <w:multiLevelType w:val="hybridMultilevel"/>
    <w:tmpl w:val="603C5A3A"/>
    <w:lvl w:ilvl="0" w:tplc="1AF240B2">
      <w:start w:val="4"/>
      <w:numFmt w:val="bullet"/>
      <w:lvlText w:val="-"/>
      <w:lvlJc w:val="left"/>
      <w:pPr>
        <w:ind w:left="720" w:hanging="360"/>
      </w:pPr>
      <w:rPr>
        <w:rFonts w:ascii="Times New Roman" w:eastAsia="Times New Roman" w:hAnsi="Times New Roman"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5D084A61"/>
    <w:multiLevelType w:val="hybridMultilevel"/>
    <w:tmpl w:val="6540A400"/>
    <w:lvl w:ilvl="0" w:tplc="1AF240B2">
      <w:start w:val="4"/>
      <w:numFmt w:val="bullet"/>
      <w:lvlText w:val="-"/>
      <w:lvlJc w:val="left"/>
      <w:pPr>
        <w:ind w:left="720" w:hanging="360"/>
      </w:pPr>
      <w:rPr>
        <w:rFonts w:ascii="Times New Roman" w:eastAsia="Times New Roman" w:hAnsi="Times New Roman"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EBE6931"/>
    <w:multiLevelType w:val="hybridMultilevel"/>
    <w:tmpl w:val="B67C5C3E"/>
    <w:lvl w:ilvl="0" w:tplc="1AF240B2">
      <w:start w:val="4"/>
      <w:numFmt w:val="bullet"/>
      <w:lvlText w:val="-"/>
      <w:lvlJc w:val="left"/>
      <w:pPr>
        <w:ind w:left="720" w:hanging="360"/>
      </w:pPr>
      <w:rPr>
        <w:rFonts w:ascii="Times New Roman" w:eastAsia="Times New Roman" w:hAnsi="Times New Roman"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600E3373"/>
    <w:multiLevelType w:val="hybridMultilevel"/>
    <w:tmpl w:val="21A898E2"/>
    <w:lvl w:ilvl="0" w:tplc="B2DC3D1C">
      <w:start w:val="3"/>
      <w:numFmt w:val="bullet"/>
      <w:lvlText w:val="-"/>
      <w:lvlJc w:val="left"/>
      <w:pPr>
        <w:ind w:left="720" w:hanging="360"/>
      </w:pPr>
      <w:rPr>
        <w:rFonts w:ascii="Calibri" w:eastAsia="Times New Roman" w:hAnsi="Calibri"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663A068D"/>
    <w:multiLevelType w:val="hybridMultilevel"/>
    <w:tmpl w:val="88D005BC"/>
    <w:lvl w:ilvl="0" w:tplc="E0A22E3E">
      <w:start w:val="2"/>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65C2272"/>
    <w:multiLevelType w:val="hybridMultilevel"/>
    <w:tmpl w:val="E1FE5634"/>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9">
    <w:nsid w:val="670B6575"/>
    <w:multiLevelType w:val="hybridMultilevel"/>
    <w:tmpl w:val="BEBEF122"/>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6A5510F3"/>
    <w:multiLevelType w:val="hybridMultilevel"/>
    <w:tmpl w:val="C2B8A818"/>
    <w:lvl w:ilvl="0" w:tplc="56824E3C">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6C02596B"/>
    <w:multiLevelType w:val="hybridMultilevel"/>
    <w:tmpl w:val="39CE0D30"/>
    <w:lvl w:ilvl="0" w:tplc="B2DC3D1C">
      <w:start w:val="3"/>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6E82517F"/>
    <w:multiLevelType w:val="hybridMultilevel"/>
    <w:tmpl w:val="7A52115E"/>
    <w:lvl w:ilvl="0" w:tplc="B2DC3D1C">
      <w:start w:val="3"/>
      <w:numFmt w:val="bullet"/>
      <w:lvlText w:val="-"/>
      <w:lvlJc w:val="left"/>
      <w:pPr>
        <w:ind w:left="720" w:hanging="360"/>
      </w:pPr>
      <w:rPr>
        <w:rFonts w:ascii="Calibri" w:eastAsia="Times New Roman" w:hAnsi="Calibri" w:hint="default"/>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79312273"/>
    <w:multiLevelType w:val="hybridMultilevel"/>
    <w:tmpl w:val="6D7A4258"/>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4">
    <w:nsid w:val="79F92A53"/>
    <w:multiLevelType w:val="multilevel"/>
    <w:tmpl w:val="EE6E7BA4"/>
    <w:lvl w:ilvl="0">
      <w:start w:val="4"/>
      <w:numFmt w:val="decimal"/>
      <w:lvlText w:val="%1"/>
      <w:lvlJc w:val="left"/>
      <w:pPr>
        <w:ind w:left="600" w:hanging="600"/>
      </w:pPr>
      <w:rPr>
        <w:rFonts w:cs="Times New Roman" w:hint="default"/>
      </w:rPr>
    </w:lvl>
    <w:lvl w:ilvl="1">
      <w:start w:val="1"/>
      <w:numFmt w:val="decimal"/>
      <w:lvlText w:val="%1.%2"/>
      <w:lvlJc w:val="left"/>
      <w:pPr>
        <w:ind w:left="600" w:hanging="60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5">
    <w:nsid w:val="7A1E1675"/>
    <w:multiLevelType w:val="multilevel"/>
    <w:tmpl w:val="5C50F69A"/>
    <w:lvl w:ilvl="0">
      <w:start w:val="1"/>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6">
    <w:nsid w:val="7B40255C"/>
    <w:multiLevelType w:val="hybridMultilevel"/>
    <w:tmpl w:val="E1AADC20"/>
    <w:lvl w:ilvl="0" w:tplc="B2DC3D1C">
      <w:start w:val="3"/>
      <w:numFmt w:val="bullet"/>
      <w:lvlText w:val="-"/>
      <w:lvlJc w:val="left"/>
      <w:pPr>
        <w:ind w:left="720" w:hanging="360"/>
      </w:pPr>
      <w:rPr>
        <w:rFonts w:ascii="Calibri" w:eastAsia="Times New Roman" w:hAnsi="Calibri"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7FF825AD"/>
    <w:multiLevelType w:val="multilevel"/>
    <w:tmpl w:val="5466478C"/>
    <w:lvl w:ilvl="0">
      <w:start w:val="3"/>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7"/>
  </w:num>
  <w:num w:numId="2">
    <w:abstractNumId w:val="9"/>
  </w:num>
  <w:num w:numId="3">
    <w:abstractNumId w:val="33"/>
  </w:num>
  <w:num w:numId="4">
    <w:abstractNumId w:val="28"/>
  </w:num>
  <w:num w:numId="5">
    <w:abstractNumId w:val="36"/>
  </w:num>
  <w:num w:numId="6">
    <w:abstractNumId w:val="31"/>
  </w:num>
  <w:num w:numId="7">
    <w:abstractNumId w:val="23"/>
  </w:num>
  <w:num w:numId="8">
    <w:abstractNumId w:val="26"/>
  </w:num>
  <w:num w:numId="9">
    <w:abstractNumId w:val="32"/>
  </w:num>
  <w:num w:numId="10">
    <w:abstractNumId w:val="1"/>
  </w:num>
  <w:num w:numId="11">
    <w:abstractNumId w:val="21"/>
  </w:num>
  <w:num w:numId="12">
    <w:abstractNumId w:val="27"/>
  </w:num>
  <w:num w:numId="13">
    <w:abstractNumId w:val="6"/>
  </w:num>
  <w:num w:numId="14">
    <w:abstractNumId w:val="19"/>
  </w:num>
  <w:num w:numId="15">
    <w:abstractNumId w:val="37"/>
  </w:num>
  <w:num w:numId="16">
    <w:abstractNumId w:val="16"/>
  </w:num>
  <w:num w:numId="17">
    <w:abstractNumId w:val="25"/>
  </w:num>
  <w:num w:numId="18">
    <w:abstractNumId w:val="8"/>
  </w:num>
  <w:num w:numId="19">
    <w:abstractNumId w:val="7"/>
  </w:num>
  <w:num w:numId="20">
    <w:abstractNumId w:val="24"/>
  </w:num>
  <w:num w:numId="21">
    <w:abstractNumId w:val="14"/>
  </w:num>
  <w:num w:numId="22">
    <w:abstractNumId w:val="0"/>
  </w:num>
  <w:num w:numId="23">
    <w:abstractNumId w:val="29"/>
  </w:num>
  <w:num w:numId="24">
    <w:abstractNumId w:val="35"/>
  </w:num>
  <w:num w:numId="25">
    <w:abstractNumId w:val="22"/>
  </w:num>
  <w:num w:numId="26">
    <w:abstractNumId w:val="13"/>
  </w:num>
  <w:num w:numId="27">
    <w:abstractNumId w:val="5"/>
  </w:num>
  <w:num w:numId="28">
    <w:abstractNumId w:val="34"/>
  </w:num>
  <w:num w:numId="29">
    <w:abstractNumId w:val="4"/>
  </w:num>
  <w:num w:numId="30">
    <w:abstractNumId w:val="18"/>
  </w:num>
  <w:num w:numId="31">
    <w:abstractNumId w:val="12"/>
  </w:num>
  <w:num w:numId="32">
    <w:abstractNumId w:val="11"/>
  </w:num>
  <w:num w:numId="33">
    <w:abstractNumId w:val="2"/>
  </w:num>
  <w:num w:numId="34">
    <w:abstractNumId w:val="15"/>
  </w:num>
  <w:num w:numId="35">
    <w:abstractNumId w:val="3"/>
  </w:num>
  <w:num w:numId="36">
    <w:abstractNumId w:val="30"/>
  </w:num>
  <w:num w:numId="37">
    <w:abstractNumId w:val="10"/>
  </w:num>
  <w:num w:numId="3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cumentProtection w:formatting="1" w:enforcement="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1854"/>
    <w:rsid w:val="000028ED"/>
    <w:rsid w:val="0000350D"/>
    <w:rsid w:val="00003674"/>
    <w:rsid w:val="000045A5"/>
    <w:rsid w:val="00004925"/>
    <w:rsid w:val="00004E89"/>
    <w:rsid w:val="000270CA"/>
    <w:rsid w:val="0002756C"/>
    <w:rsid w:val="000318DF"/>
    <w:rsid w:val="00033246"/>
    <w:rsid w:val="00034D90"/>
    <w:rsid w:val="00041DD2"/>
    <w:rsid w:val="00042AAD"/>
    <w:rsid w:val="00046FC6"/>
    <w:rsid w:val="00051A92"/>
    <w:rsid w:val="000728C5"/>
    <w:rsid w:val="0007385B"/>
    <w:rsid w:val="00075283"/>
    <w:rsid w:val="00082248"/>
    <w:rsid w:val="00083688"/>
    <w:rsid w:val="00084FB6"/>
    <w:rsid w:val="00090C08"/>
    <w:rsid w:val="00093F78"/>
    <w:rsid w:val="000B02D4"/>
    <w:rsid w:val="000B1452"/>
    <w:rsid w:val="000B5B11"/>
    <w:rsid w:val="000B60F9"/>
    <w:rsid w:val="000C3D84"/>
    <w:rsid w:val="000C4568"/>
    <w:rsid w:val="000D04A7"/>
    <w:rsid w:val="000D275E"/>
    <w:rsid w:val="000D2D73"/>
    <w:rsid w:val="000D2FE0"/>
    <w:rsid w:val="000D3BD6"/>
    <w:rsid w:val="000D4435"/>
    <w:rsid w:val="000D776D"/>
    <w:rsid w:val="000E5325"/>
    <w:rsid w:val="000E5765"/>
    <w:rsid w:val="001024E7"/>
    <w:rsid w:val="00102DC1"/>
    <w:rsid w:val="00106607"/>
    <w:rsid w:val="001102AE"/>
    <w:rsid w:val="00113497"/>
    <w:rsid w:val="00116966"/>
    <w:rsid w:val="0012301C"/>
    <w:rsid w:val="00130212"/>
    <w:rsid w:val="00132E19"/>
    <w:rsid w:val="0013391E"/>
    <w:rsid w:val="00135F7E"/>
    <w:rsid w:val="0013697E"/>
    <w:rsid w:val="0014468C"/>
    <w:rsid w:val="00145B9C"/>
    <w:rsid w:val="00145F5E"/>
    <w:rsid w:val="00151BB0"/>
    <w:rsid w:val="001538E4"/>
    <w:rsid w:val="00153DD6"/>
    <w:rsid w:val="0015506A"/>
    <w:rsid w:val="001577E4"/>
    <w:rsid w:val="00160179"/>
    <w:rsid w:val="00161073"/>
    <w:rsid w:val="00161A85"/>
    <w:rsid w:val="001633A0"/>
    <w:rsid w:val="001669D1"/>
    <w:rsid w:val="00167495"/>
    <w:rsid w:val="00171A3C"/>
    <w:rsid w:val="001779D1"/>
    <w:rsid w:val="0018105B"/>
    <w:rsid w:val="0018296F"/>
    <w:rsid w:val="001972B0"/>
    <w:rsid w:val="00197F8E"/>
    <w:rsid w:val="001A2919"/>
    <w:rsid w:val="001B11F5"/>
    <w:rsid w:val="001B1854"/>
    <w:rsid w:val="001B5EF9"/>
    <w:rsid w:val="001B7BC0"/>
    <w:rsid w:val="001C3074"/>
    <w:rsid w:val="001C6443"/>
    <w:rsid w:val="001D1467"/>
    <w:rsid w:val="001D17B5"/>
    <w:rsid w:val="001D5D4E"/>
    <w:rsid w:val="001D7F08"/>
    <w:rsid w:val="001E23EF"/>
    <w:rsid w:val="001E2ABC"/>
    <w:rsid w:val="001E4CE0"/>
    <w:rsid w:val="001F50FA"/>
    <w:rsid w:val="001F60B8"/>
    <w:rsid w:val="001F7DFB"/>
    <w:rsid w:val="002020E7"/>
    <w:rsid w:val="00202752"/>
    <w:rsid w:val="00210469"/>
    <w:rsid w:val="002165C4"/>
    <w:rsid w:val="00217167"/>
    <w:rsid w:val="002304C7"/>
    <w:rsid w:val="00230C3D"/>
    <w:rsid w:val="00231D58"/>
    <w:rsid w:val="00235807"/>
    <w:rsid w:val="0024177B"/>
    <w:rsid w:val="00243FBD"/>
    <w:rsid w:val="002475F2"/>
    <w:rsid w:val="0025078E"/>
    <w:rsid w:val="00252164"/>
    <w:rsid w:val="00254C3B"/>
    <w:rsid w:val="002606FB"/>
    <w:rsid w:val="00262C14"/>
    <w:rsid w:val="00270A54"/>
    <w:rsid w:val="00270D52"/>
    <w:rsid w:val="002776BD"/>
    <w:rsid w:val="00283537"/>
    <w:rsid w:val="00283E5C"/>
    <w:rsid w:val="00284628"/>
    <w:rsid w:val="00287769"/>
    <w:rsid w:val="00291FA3"/>
    <w:rsid w:val="00293EA5"/>
    <w:rsid w:val="002A77B2"/>
    <w:rsid w:val="002B1AA9"/>
    <w:rsid w:val="002B37B0"/>
    <w:rsid w:val="002C25FC"/>
    <w:rsid w:val="002C2946"/>
    <w:rsid w:val="002C7B57"/>
    <w:rsid w:val="002D3369"/>
    <w:rsid w:val="002E1706"/>
    <w:rsid w:val="002F1990"/>
    <w:rsid w:val="002F3193"/>
    <w:rsid w:val="002F4665"/>
    <w:rsid w:val="002F792D"/>
    <w:rsid w:val="00303763"/>
    <w:rsid w:val="003137E7"/>
    <w:rsid w:val="003164F6"/>
    <w:rsid w:val="00316E5B"/>
    <w:rsid w:val="00322416"/>
    <w:rsid w:val="00325251"/>
    <w:rsid w:val="00332AE1"/>
    <w:rsid w:val="00335300"/>
    <w:rsid w:val="00336605"/>
    <w:rsid w:val="00337842"/>
    <w:rsid w:val="003404D2"/>
    <w:rsid w:val="00340E90"/>
    <w:rsid w:val="00363F32"/>
    <w:rsid w:val="00367350"/>
    <w:rsid w:val="003722D9"/>
    <w:rsid w:val="00374656"/>
    <w:rsid w:val="00381ADF"/>
    <w:rsid w:val="00383A6A"/>
    <w:rsid w:val="00390D5B"/>
    <w:rsid w:val="00394F90"/>
    <w:rsid w:val="00397BEA"/>
    <w:rsid w:val="003A2C9B"/>
    <w:rsid w:val="003A403C"/>
    <w:rsid w:val="003A4F1E"/>
    <w:rsid w:val="003A6769"/>
    <w:rsid w:val="003B1482"/>
    <w:rsid w:val="003B1F0E"/>
    <w:rsid w:val="003C36EC"/>
    <w:rsid w:val="003D0A36"/>
    <w:rsid w:val="003D2209"/>
    <w:rsid w:val="003D2413"/>
    <w:rsid w:val="003D3501"/>
    <w:rsid w:val="003E1CC8"/>
    <w:rsid w:val="003F0E6A"/>
    <w:rsid w:val="003F2894"/>
    <w:rsid w:val="003F3C71"/>
    <w:rsid w:val="003F53B1"/>
    <w:rsid w:val="003F7AD1"/>
    <w:rsid w:val="00405536"/>
    <w:rsid w:val="00415266"/>
    <w:rsid w:val="0041529F"/>
    <w:rsid w:val="00416445"/>
    <w:rsid w:val="00417C4F"/>
    <w:rsid w:val="00422183"/>
    <w:rsid w:val="00425715"/>
    <w:rsid w:val="00427C58"/>
    <w:rsid w:val="00442147"/>
    <w:rsid w:val="00443B6F"/>
    <w:rsid w:val="00447F24"/>
    <w:rsid w:val="0045403D"/>
    <w:rsid w:val="00455899"/>
    <w:rsid w:val="00455ECA"/>
    <w:rsid w:val="00456425"/>
    <w:rsid w:val="00461FAD"/>
    <w:rsid w:val="00462C43"/>
    <w:rsid w:val="00465C5D"/>
    <w:rsid w:val="004666F0"/>
    <w:rsid w:val="00476DA4"/>
    <w:rsid w:val="00481B9A"/>
    <w:rsid w:val="004825E1"/>
    <w:rsid w:val="004845BB"/>
    <w:rsid w:val="00484AB4"/>
    <w:rsid w:val="0048637A"/>
    <w:rsid w:val="00495558"/>
    <w:rsid w:val="004A0EB1"/>
    <w:rsid w:val="004A3D62"/>
    <w:rsid w:val="004A5373"/>
    <w:rsid w:val="004A5749"/>
    <w:rsid w:val="004B368D"/>
    <w:rsid w:val="004B3753"/>
    <w:rsid w:val="004C117C"/>
    <w:rsid w:val="004C2480"/>
    <w:rsid w:val="004C416E"/>
    <w:rsid w:val="004C65B6"/>
    <w:rsid w:val="004D6807"/>
    <w:rsid w:val="004D6C30"/>
    <w:rsid w:val="004E011B"/>
    <w:rsid w:val="004E0AEA"/>
    <w:rsid w:val="004E3459"/>
    <w:rsid w:val="004E6B62"/>
    <w:rsid w:val="004F333A"/>
    <w:rsid w:val="004F74D8"/>
    <w:rsid w:val="00501E8E"/>
    <w:rsid w:val="00503229"/>
    <w:rsid w:val="005033C2"/>
    <w:rsid w:val="00505A8F"/>
    <w:rsid w:val="005074A6"/>
    <w:rsid w:val="00507C8B"/>
    <w:rsid w:val="00516018"/>
    <w:rsid w:val="00522CE0"/>
    <w:rsid w:val="00540EBD"/>
    <w:rsid w:val="0055706A"/>
    <w:rsid w:val="005657CA"/>
    <w:rsid w:val="005704B9"/>
    <w:rsid w:val="0057510F"/>
    <w:rsid w:val="00585E5D"/>
    <w:rsid w:val="00586360"/>
    <w:rsid w:val="005863EB"/>
    <w:rsid w:val="00590CC8"/>
    <w:rsid w:val="00590F01"/>
    <w:rsid w:val="005A02E2"/>
    <w:rsid w:val="005A1D89"/>
    <w:rsid w:val="005A203E"/>
    <w:rsid w:val="005B26C4"/>
    <w:rsid w:val="005B3709"/>
    <w:rsid w:val="005B3C05"/>
    <w:rsid w:val="005B3D73"/>
    <w:rsid w:val="005B61BD"/>
    <w:rsid w:val="005C309B"/>
    <w:rsid w:val="005C5700"/>
    <w:rsid w:val="005C65EE"/>
    <w:rsid w:val="005C6904"/>
    <w:rsid w:val="005D3AA8"/>
    <w:rsid w:val="005D3CD4"/>
    <w:rsid w:val="005D3D51"/>
    <w:rsid w:val="005D47B7"/>
    <w:rsid w:val="005D723C"/>
    <w:rsid w:val="005E27B8"/>
    <w:rsid w:val="005E436D"/>
    <w:rsid w:val="005E4F4B"/>
    <w:rsid w:val="00612A8A"/>
    <w:rsid w:val="00623E95"/>
    <w:rsid w:val="00630F96"/>
    <w:rsid w:val="00632531"/>
    <w:rsid w:val="00634326"/>
    <w:rsid w:val="006348C0"/>
    <w:rsid w:val="00635997"/>
    <w:rsid w:val="0065095E"/>
    <w:rsid w:val="00650F29"/>
    <w:rsid w:val="006523E1"/>
    <w:rsid w:val="00661E64"/>
    <w:rsid w:val="006636CD"/>
    <w:rsid w:val="00666B4E"/>
    <w:rsid w:val="0066776F"/>
    <w:rsid w:val="00670AC6"/>
    <w:rsid w:val="00674F5C"/>
    <w:rsid w:val="006812FB"/>
    <w:rsid w:val="00685F09"/>
    <w:rsid w:val="006A54CC"/>
    <w:rsid w:val="006A5D68"/>
    <w:rsid w:val="006B3B5F"/>
    <w:rsid w:val="006B57BD"/>
    <w:rsid w:val="006C705A"/>
    <w:rsid w:val="006C7217"/>
    <w:rsid w:val="006D31D2"/>
    <w:rsid w:val="006D3867"/>
    <w:rsid w:val="006E3A8B"/>
    <w:rsid w:val="006E695A"/>
    <w:rsid w:val="00702C55"/>
    <w:rsid w:val="007061E8"/>
    <w:rsid w:val="007156E7"/>
    <w:rsid w:val="00720FFA"/>
    <w:rsid w:val="00724379"/>
    <w:rsid w:val="00726B65"/>
    <w:rsid w:val="00740546"/>
    <w:rsid w:val="007415EE"/>
    <w:rsid w:val="00752D72"/>
    <w:rsid w:val="00756037"/>
    <w:rsid w:val="00774792"/>
    <w:rsid w:val="00782EA2"/>
    <w:rsid w:val="00792FA2"/>
    <w:rsid w:val="00796C50"/>
    <w:rsid w:val="007A152A"/>
    <w:rsid w:val="007A3BD8"/>
    <w:rsid w:val="007A60FF"/>
    <w:rsid w:val="007B012A"/>
    <w:rsid w:val="007B1123"/>
    <w:rsid w:val="007B1448"/>
    <w:rsid w:val="007C0037"/>
    <w:rsid w:val="007C21D9"/>
    <w:rsid w:val="007D31A9"/>
    <w:rsid w:val="007D555E"/>
    <w:rsid w:val="007D57FC"/>
    <w:rsid w:val="007E3C58"/>
    <w:rsid w:val="007E6056"/>
    <w:rsid w:val="007E6DED"/>
    <w:rsid w:val="007F0AE0"/>
    <w:rsid w:val="007F61D8"/>
    <w:rsid w:val="008062FB"/>
    <w:rsid w:val="008068D7"/>
    <w:rsid w:val="008147AE"/>
    <w:rsid w:val="0081689D"/>
    <w:rsid w:val="00816DCB"/>
    <w:rsid w:val="008220AF"/>
    <w:rsid w:val="00824B89"/>
    <w:rsid w:val="00830F4B"/>
    <w:rsid w:val="008331CE"/>
    <w:rsid w:val="0083780D"/>
    <w:rsid w:val="00842650"/>
    <w:rsid w:val="00842BF0"/>
    <w:rsid w:val="0084458B"/>
    <w:rsid w:val="0085596B"/>
    <w:rsid w:val="0085731C"/>
    <w:rsid w:val="00860145"/>
    <w:rsid w:val="00863018"/>
    <w:rsid w:val="00865401"/>
    <w:rsid w:val="00872E32"/>
    <w:rsid w:val="0087467A"/>
    <w:rsid w:val="0087788A"/>
    <w:rsid w:val="00877CE0"/>
    <w:rsid w:val="00881260"/>
    <w:rsid w:val="008819A0"/>
    <w:rsid w:val="008863E5"/>
    <w:rsid w:val="0089416F"/>
    <w:rsid w:val="008964E8"/>
    <w:rsid w:val="008974D2"/>
    <w:rsid w:val="008976A8"/>
    <w:rsid w:val="00897983"/>
    <w:rsid w:val="008A1571"/>
    <w:rsid w:val="008A5537"/>
    <w:rsid w:val="008A56F2"/>
    <w:rsid w:val="008A7F82"/>
    <w:rsid w:val="008B4C2F"/>
    <w:rsid w:val="008C2007"/>
    <w:rsid w:val="008C2300"/>
    <w:rsid w:val="008C56DF"/>
    <w:rsid w:val="008D1C76"/>
    <w:rsid w:val="008D27A7"/>
    <w:rsid w:val="008E35BF"/>
    <w:rsid w:val="008F00C0"/>
    <w:rsid w:val="008F6E84"/>
    <w:rsid w:val="00903EFB"/>
    <w:rsid w:val="00914727"/>
    <w:rsid w:val="00915A85"/>
    <w:rsid w:val="0091619B"/>
    <w:rsid w:val="009236C1"/>
    <w:rsid w:val="009247E6"/>
    <w:rsid w:val="00924CD4"/>
    <w:rsid w:val="009307B4"/>
    <w:rsid w:val="00932B16"/>
    <w:rsid w:val="00936C4A"/>
    <w:rsid w:val="00936D10"/>
    <w:rsid w:val="00941F0D"/>
    <w:rsid w:val="00954596"/>
    <w:rsid w:val="00954610"/>
    <w:rsid w:val="00960A77"/>
    <w:rsid w:val="009631AD"/>
    <w:rsid w:val="00965F5D"/>
    <w:rsid w:val="00967600"/>
    <w:rsid w:val="00970F22"/>
    <w:rsid w:val="00971EBF"/>
    <w:rsid w:val="00972A41"/>
    <w:rsid w:val="00982E93"/>
    <w:rsid w:val="00983B4D"/>
    <w:rsid w:val="00986AF3"/>
    <w:rsid w:val="00991D57"/>
    <w:rsid w:val="00993139"/>
    <w:rsid w:val="0099559F"/>
    <w:rsid w:val="00997338"/>
    <w:rsid w:val="009B6298"/>
    <w:rsid w:val="009B63C3"/>
    <w:rsid w:val="009C5134"/>
    <w:rsid w:val="009D3827"/>
    <w:rsid w:val="009D4037"/>
    <w:rsid w:val="009D50AC"/>
    <w:rsid w:val="009F1CD0"/>
    <w:rsid w:val="009F6CB0"/>
    <w:rsid w:val="009F784E"/>
    <w:rsid w:val="00A00B2C"/>
    <w:rsid w:val="00A01DC9"/>
    <w:rsid w:val="00A04BE8"/>
    <w:rsid w:val="00A14D47"/>
    <w:rsid w:val="00A15DEF"/>
    <w:rsid w:val="00A21FA9"/>
    <w:rsid w:val="00A238C6"/>
    <w:rsid w:val="00A25CFA"/>
    <w:rsid w:val="00A3001E"/>
    <w:rsid w:val="00A314D0"/>
    <w:rsid w:val="00A351CC"/>
    <w:rsid w:val="00A37DF2"/>
    <w:rsid w:val="00A41768"/>
    <w:rsid w:val="00A53469"/>
    <w:rsid w:val="00A55687"/>
    <w:rsid w:val="00A57CAB"/>
    <w:rsid w:val="00A70FE7"/>
    <w:rsid w:val="00A72E09"/>
    <w:rsid w:val="00A745A6"/>
    <w:rsid w:val="00A91926"/>
    <w:rsid w:val="00A939EC"/>
    <w:rsid w:val="00A93E9C"/>
    <w:rsid w:val="00AA06CF"/>
    <w:rsid w:val="00AA5E30"/>
    <w:rsid w:val="00AD54FD"/>
    <w:rsid w:val="00AD563E"/>
    <w:rsid w:val="00AD61BE"/>
    <w:rsid w:val="00AE0D02"/>
    <w:rsid w:val="00AE3612"/>
    <w:rsid w:val="00AF379A"/>
    <w:rsid w:val="00AF4B51"/>
    <w:rsid w:val="00AF5355"/>
    <w:rsid w:val="00AF7665"/>
    <w:rsid w:val="00B07CC2"/>
    <w:rsid w:val="00B10FAA"/>
    <w:rsid w:val="00B1670D"/>
    <w:rsid w:val="00B2364D"/>
    <w:rsid w:val="00B305ED"/>
    <w:rsid w:val="00B34979"/>
    <w:rsid w:val="00B35E2D"/>
    <w:rsid w:val="00B440C5"/>
    <w:rsid w:val="00B50783"/>
    <w:rsid w:val="00B53E40"/>
    <w:rsid w:val="00B60451"/>
    <w:rsid w:val="00B65989"/>
    <w:rsid w:val="00B71188"/>
    <w:rsid w:val="00B73DCF"/>
    <w:rsid w:val="00B76B4C"/>
    <w:rsid w:val="00B8132E"/>
    <w:rsid w:val="00B82466"/>
    <w:rsid w:val="00B855B8"/>
    <w:rsid w:val="00B875FF"/>
    <w:rsid w:val="00B92C4A"/>
    <w:rsid w:val="00B95D8D"/>
    <w:rsid w:val="00B96820"/>
    <w:rsid w:val="00BA0746"/>
    <w:rsid w:val="00BA19EC"/>
    <w:rsid w:val="00BA7A5A"/>
    <w:rsid w:val="00BB66F2"/>
    <w:rsid w:val="00BB68EE"/>
    <w:rsid w:val="00BC1273"/>
    <w:rsid w:val="00BC70AC"/>
    <w:rsid w:val="00BD3C3F"/>
    <w:rsid w:val="00BD479D"/>
    <w:rsid w:val="00BD7B59"/>
    <w:rsid w:val="00BE0B8D"/>
    <w:rsid w:val="00BE4611"/>
    <w:rsid w:val="00BF23C8"/>
    <w:rsid w:val="00BF33D4"/>
    <w:rsid w:val="00BF5E31"/>
    <w:rsid w:val="00C07503"/>
    <w:rsid w:val="00C14300"/>
    <w:rsid w:val="00C20125"/>
    <w:rsid w:val="00C201D8"/>
    <w:rsid w:val="00C20303"/>
    <w:rsid w:val="00C25D35"/>
    <w:rsid w:val="00C262C3"/>
    <w:rsid w:val="00C319BD"/>
    <w:rsid w:val="00C362E9"/>
    <w:rsid w:val="00C419AE"/>
    <w:rsid w:val="00C427E1"/>
    <w:rsid w:val="00C45244"/>
    <w:rsid w:val="00C50CAA"/>
    <w:rsid w:val="00C526E3"/>
    <w:rsid w:val="00C52766"/>
    <w:rsid w:val="00C67176"/>
    <w:rsid w:val="00C71BB9"/>
    <w:rsid w:val="00C7764A"/>
    <w:rsid w:val="00C82E0F"/>
    <w:rsid w:val="00C830D9"/>
    <w:rsid w:val="00C86ED2"/>
    <w:rsid w:val="00C92C30"/>
    <w:rsid w:val="00C96F29"/>
    <w:rsid w:val="00C977F5"/>
    <w:rsid w:val="00C97EC5"/>
    <w:rsid w:val="00CA2BC5"/>
    <w:rsid w:val="00CA4188"/>
    <w:rsid w:val="00CA4CE1"/>
    <w:rsid w:val="00CA6433"/>
    <w:rsid w:val="00CB5877"/>
    <w:rsid w:val="00CB7A61"/>
    <w:rsid w:val="00CC0875"/>
    <w:rsid w:val="00CC55DE"/>
    <w:rsid w:val="00CD292F"/>
    <w:rsid w:val="00CD2BA7"/>
    <w:rsid w:val="00CD572B"/>
    <w:rsid w:val="00CD6FF8"/>
    <w:rsid w:val="00CD7F7F"/>
    <w:rsid w:val="00CE3FCE"/>
    <w:rsid w:val="00CE517D"/>
    <w:rsid w:val="00CE69BD"/>
    <w:rsid w:val="00D04D7C"/>
    <w:rsid w:val="00D0528C"/>
    <w:rsid w:val="00D12A01"/>
    <w:rsid w:val="00D16B61"/>
    <w:rsid w:val="00D174C1"/>
    <w:rsid w:val="00D23876"/>
    <w:rsid w:val="00D23FDD"/>
    <w:rsid w:val="00D268D8"/>
    <w:rsid w:val="00D34BA9"/>
    <w:rsid w:val="00D44EA9"/>
    <w:rsid w:val="00D45A0B"/>
    <w:rsid w:val="00D45C2D"/>
    <w:rsid w:val="00D54332"/>
    <w:rsid w:val="00D560E9"/>
    <w:rsid w:val="00D57ADC"/>
    <w:rsid w:val="00D62BB6"/>
    <w:rsid w:val="00D64038"/>
    <w:rsid w:val="00D72D24"/>
    <w:rsid w:val="00D74F80"/>
    <w:rsid w:val="00D773AE"/>
    <w:rsid w:val="00D86831"/>
    <w:rsid w:val="00DB6252"/>
    <w:rsid w:val="00DC374F"/>
    <w:rsid w:val="00DC4AE0"/>
    <w:rsid w:val="00DC5B59"/>
    <w:rsid w:val="00DD244D"/>
    <w:rsid w:val="00DD2789"/>
    <w:rsid w:val="00DD5400"/>
    <w:rsid w:val="00DD5C77"/>
    <w:rsid w:val="00DE2724"/>
    <w:rsid w:val="00DE353C"/>
    <w:rsid w:val="00DF1862"/>
    <w:rsid w:val="00DF21BB"/>
    <w:rsid w:val="00DF3FB6"/>
    <w:rsid w:val="00DF4C30"/>
    <w:rsid w:val="00DF7FB9"/>
    <w:rsid w:val="00E11B64"/>
    <w:rsid w:val="00E12543"/>
    <w:rsid w:val="00E14F0B"/>
    <w:rsid w:val="00E330B5"/>
    <w:rsid w:val="00E3407F"/>
    <w:rsid w:val="00E36160"/>
    <w:rsid w:val="00E378A4"/>
    <w:rsid w:val="00E40D0D"/>
    <w:rsid w:val="00E443D5"/>
    <w:rsid w:val="00E4634F"/>
    <w:rsid w:val="00E526CC"/>
    <w:rsid w:val="00E53883"/>
    <w:rsid w:val="00E624DE"/>
    <w:rsid w:val="00E632F8"/>
    <w:rsid w:val="00E653E0"/>
    <w:rsid w:val="00E659F9"/>
    <w:rsid w:val="00E72676"/>
    <w:rsid w:val="00E7457A"/>
    <w:rsid w:val="00E74AC2"/>
    <w:rsid w:val="00E80FCF"/>
    <w:rsid w:val="00E93CD7"/>
    <w:rsid w:val="00E93EB3"/>
    <w:rsid w:val="00E955BD"/>
    <w:rsid w:val="00EA6B55"/>
    <w:rsid w:val="00EB1F8F"/>
    <w:rsid w:val="00EC3C94"/>
    <w:rsid w:val="00ED3E1A"/>
    <w:rsid w:val="00EE469F"/>
    <w:rsid w:val="00F04159"/>
    <w:rsid w:val="00F26CCA"/>
    <w:rsid w:val="00F271A1"/>
    <w:rsid w:val="00F3080C"/>
    <w:rsid w:val="00F3163E"/>
    <w:rsid w:val="00F363C1"/>
    <w:rsid w:val="00F37233"/>
    <w:rsid w:val="00F42CF3"/>
    <w:rsid w:val="00F47FCD"/>
    <w:rsid w:val="00F51DD0"/>
    <w:rsid w:val="00F615B1"/>
    <w:rsid w:val="00F64D44"/>
    <w:rsid w:val="00F64E26"/>
    <w:rsid w:val="00F64F8F"/>
    <w:rsid w:val="00F66A61"/>
    <w:rsid w:val="00F70367"/>
    <w:rsid w:val="00F717BE"/>
    <w:rsid w:val="00F75DF0"/>
    <w:rsid w:val="00F76873"/>
    <w:rsid w:val="00F87E8D"/>
    <w:rsid w:val="00F90670"/>
    <w:rsid w:val="00F9189C"/>
    <w:rsid w:val="00F97B36"/>
    <w:rsid w:val="00FA0023"/>
    <w:rsid w:val="00FA0ADF"/>
    <w:rsid w:val="00FA1FFE"/>
    <w:rsid w:val="00FA67F7"/>
    <w:rsid w:val="00FA72FE"/>
    <w:rsid w:val="00FB019D"/>
    <w:rsid w:val="00FB15C8"/>
    <w:rsid w:val="00FB3004"/>
    <w:rsid w:val="00FB6BE2"/>
    <w:rsid w:val="00FC3A1E"/>
    <w:rsid w:val="00FC53CF"/>
    <w:rsid w:val="00FC57A3"/>
    <w:rsid w:val="00FD542C"/>
    <w:rsid w:val="00FD629C"/>
    <w:rsid w:val="00FE3382"/>
    <w:rsid w:val="00FE3DD3"/>
    <w:rsid w:val="00FF1C3C"/>
    <w:rsid w:val="00FF5F7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C86ED2"/>
    <w:pPr>
      <w:spacing w:after="200" w:line="336" w:lineRule="auto"/>
      <w:jc w:val="both"/>
    </w:pPr>
    <w:rPr>
      <w:rFonts w:ascii="Times New Roman" w:hAnsi="Times New Roman"/>
      <w:lang w:val="nl-NL"/>
    </w:rPr>
  </w:style>
  <w:style w:type="paragraph" w:styleId="Heading1">
    <w:name w:val="heading 1"/>
    <w:basedOn w:val="Normal"/>
    <w:next w:val="Normal"/>
    <w:link w:val="Heading1Char"/>
    <w:uiPriority w:val="99"/>
    <w:qFormat/>
    <w:rsid w:val="001B7BC0"/>
    <w:pPr>
      <w:keepNext/>
      <w:keepLines/>
      <w:spacing w:after="0" w:line="360" w:lineRule="auto"/>
      <w:outlineLvl w:val="0"/>
    </w:pPr>
    <w:rPr>
      <w:rFonts w:eastAsia="Times New Roman"/>
      <w:b/>
      <w:bCs/>
      <w:sz w:val="32"/>
      <w:szCs w:val="28"/>
    </w:rPr>
  </w:style>
  <w:style w:type="paragraph" w:styleId="Heading2">
    <w:name w:val="heading 2"/>
    <w:basedOn w:val="Normal"/>
    <w:next w:val="Normal"/>
    <w:link w:val="Heading2Char"/>
    <w:uiPriority w:val="99"/>
    <w:qFormat/>
    <w:rsid w:val="00670AC6"/>
    <w:pPr>
      <w:keepNext/>
      <w:keepLines/>
      <w:spacing w:before="200" w:after="120" w:line="360" w:lineRule="auto"/>
      <w:outlineLvl w:val="1"/>
    </w:pPr>
    <w:rPr>
      <w:rFonts w:eastAsia="Times New Roman"/>
      <w:b/>
      <w:bCs/>
      <w:sz w:val="28"/>
      <w:szCs w:val="26"/>
    </w:rPr>
  </w:style>
  <w:style w:type="paragraph" w:styleId="Heading3">
    <w:name w:val="heading 3"/>
    <w:basedOn w:val="Normal"/>
    <w:next w:val="Normal"/>
    <w:link w:val="Heading3Char"/>
    <w:uiPriority w:val="99"/>
    <w:qFormat/>
    <w:rsid w:val="00670AC6"/>
    <w:pPr>
      <w:keepNext/>
      <w:keepLines/>
      <w:spacing w:before="200" w:after="0" w:line="360" w:lineRule="auto"/>
      <w:outlineLvl w:val="2"/>
    </w:pPr>
    <w:rPr>
      <w:rFonts w:eastAsia="Times New Roman"/>
      <w:b/>
      <w:bCs/>
    </w:rPr>
  </w:style>
  <w:style w:type="paragraph" w:styleId="Heading4">
    <w:name w:val="heading 4"/>
    <w:basedOn w:val="Normal"/>
    <w:next w:val="Normal"/>
    <w:link w:val="Heading4Char"/>
    <w:uiPriority w:val="99"/>
    <w:qFormat/>
    <w:rsid w:val="003F53B1"/>
    <w:pPr>
      <w:keepNext/>
      <w:keepLines/>
      <w:spacing w:before="200" w:after="0" w:line="360" w:lineRule="auto"/>
      <w:outlineLvl w:val="3"/>
    </w:pPr>
    <w:rPr>
      <w:rFonts w:eastAsia="Times New Roman"/>
      <w:bCs/>
      <w:i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B7BC0"/>
    <w:rPr>
      <w:rFonts w:ascii="Times New Roman" w:hAnsi="Times New Roman" w:cs="Times New Roman"/>
      <w:b/>
      <w:bCs/>
      <w:sz w:val="28"/>
      <w:szCs w:val="28"/>
    </w:rPr>
  </w:style>
  <w:style w:type="character" w:customStyle="1" w:styleId="Heading2Char">
    <w:name w:val="Heading 2 Char"/>
    <w:basedOn w:val="DefaultParagraphFont"/>
    <w:link w:val="Heading2"/>
    <w:uiPriority w:val="99"/>
    <w:locked/>
    <w:rsid w:val="00670AC6"/>
    <w:rPr>
      <w:rFonts w:ascii="Times New Roman" w:hAnsi="Times New Roman" w:cs="Times New Roman"/>
      <w:b/>
      <w:bCs/>
      <w:sz w:val="26"/>
      <w:szCs w:val="26"/>
    </w:rPr>
  </w:style>
  <w:style w:type="character" w:customStyle="1" w:styleId="Heading3Char">
    <w:name w:val="Heading 3 Char"/>
    <w:basedOn w:val="DefaultParagraphFont"/>
    <w:link w:val="Heading3"/>
    <w:uiPriority w:val="99"/>
    <w:locked/>
    <w:rsid w:val="00670AC6"/>
    <w:rPr>
      <w:rFonts w:ascii="Times New Roman" w:hAnsi="Times New Roman" w:cs="Times New Roman"/>
      <w:b/>
      <w:bCs/>
    </w:rPr>
  </w:style>
  <w:style w:type="character" w:customStyle="1" w:styleId="Heading4Char">
    <w:name w:val="Heading 4 Char"/>
    <w:basedOn w:val="DefaultParagraphFont"/>
    <w:link w:val="Heading4"/>
    <w:uiPriority w:val="99"/>
    <w:locked/>
    <w:rsid w:val="003F53B1"/>
    <w:rPr>
      <w:rFonts w:ascii="Times New Roman" w:hAnsi="Times New Roman" w:cs="Times New Roman"/>
      <w:bCs/>
      <w:iCs/>
    </w:rPr>
  </w:style>
  <w:style w:type="paragraph" w:styleId="ListParagraph">
    <w:name w:val="List Paragraph"/>
    <w:basedOn w:val="Normal"/>
    <w:uiPriority w:val="99"/>
    <w:qFormat/>
    <w:rsid w:val="00397BEA"/>
    <w:pPr>
      <w:ind w:left="720"/>
      <w:contextualSpacing/>
    </w:pPr>
  </w:style>
  <w:style w:type="paragraph" w:styleId="FootnoteText">
    <w:name w:val="footnote text"/>
    <w:basedOn w:val="Normal"/>
    <w:link w:val="FootnoteTextChar"/>
    <w:uiPriority w:val="99"/>
    <w:rsid w:val="005B3D73"/>
    <w:pPr>
      <w:spacing w:after="0" w:line="240" w:lineRule="auto"/>
    </w:pPr>
    <w:rPr>
      <w:sz w:val="20"/>
      <w:szCs w:val="20"/>
    </w:rPr>
  </w:style>
  <w:style w:type="character" w:customStyle="1" w:styleId="FootnoteTextChar">
    <w:name w:val="Footnote Text Char"/>
    <w:basedOn w:val="DefaultParagraphFont"/>
    <w:link w:val="FootnoteText"/>
    <w:uiPriority w:val="99"/>
    <w:locked/>
    <w:rsid w:val="005B3D73"/>
    <w:rPr>
      <w:rFonts w:cs="Times New Roman"/>
      <w:sz w:val="20"/>
      <w:szCs w:val="20"/>
    </w:rPr>
  </w:style>
  <w:style w:type="character" w:styleId="FootnoteReference">
    <w:name w:val="footnote reference"/>
    <w:basedOn w:val="DefaultParagraphFont"/>
    <w:uiPriority w:val="99"/>
    <w:rsid w:val="005B3D73"/>
    <w:rPr>
      <w:rFonts w:cs="Times New Roman"/>
      <w:vertAlign w:val="superscript"/>
    </w:rPr>
  </w:style>
  <w:style w:type="paragraph" w:styleId="TOCHeading">
    <w:name w:val="TOC Heading"/>
    <w:basedOn w:val="Heading1"/>
    <w:next w:val="Normal"/>
    <w:uiPriority w:val="99"/>
    <w:qFormat/>
    <w:rsid w:val="004C65B6"/>
    <w:pPr>
      <w:spacing w:before="480" w:line="276" w:lineRule="auto"/>
      <w:outlineLvl w:val="9"/>
    </w:pPr>
    <w:rPr>
      <w:rFonts w:ascii="Cambria" w:hAnsi="Cambria"/>
      <w:color w:val="365F91"/>
      <w:sz w:val="28"/>
    </w:rPr>
  </w:style>
  <w:style w:type="paragraph" w:styleId="TOC1">
    <w:name w:val="toc 1"/>
    <w:basedOn w:val="Normal"/>
    <w:next w:val="Normal"/>
    <w:autoRedefine/>
    <w:uiPriority w:val="99"/>
    <w:rsid w:val="00A00B2C"/>
    <w:pPr>
      <w:tabs>
        <w:tab w:val="right" w:leader="dot" w:pos="9062"/>
      </w:tabs>
      <w:spacing w:after="100"/>
    </w:pPr>
    <w:rPr>
      <w:noProof/>
    </w:rPr>
  </w:style>
  <w:style w:type="paragraph" w:styleId="TOC2">
    <w:name w:val="toc 2"/>
    <w:basedOn w:val="Normal"/>
    <w:next w:val="Normal"/>
    <w:autoRedefine/>
    <w:uiPriority w:val="99"/>
    <w:rsid w:val="004C65B6"/>
    <w:pPr>
      <w:spacing w:after="100"/>
      <w:ind w:left="220"/>
    </w:pPr>
  </w:style>
  <w:style w:type="paragraph" w:styleId="TOC3">
    <w:name w:val="toc 3"/>
    <w:basedOn w:val="Normal"/>
    <w:next w:val="Normal"/>
    <w:autoRedefine/>
    <w:uiPriority w:val="99"/>
    <w:rsid w:val="00585E5D"/>
    <w:pPr>
      <w:tabs>
        <w:tab w:val="right" w:leader="dot" w:pos="9062"/>
      </w:tabs>
      <w:spacing w:after="100"/>
      <w:ind w:left="442"/>
    </w:pPr>
  </w:style>
  <w:style w:type="character" w:styleId="Hyperlink">
    <w:name w:val="Hyperlink"/>
    <w:basedOn w:val="DefaultParagraphFont"/>
    <w:uiPriority w:val="99"/>
    <w:rsid w:val="004C65B6"/>
    <w:rPr>
      <w:rFonts w:cs="Times New Roman"/>
      <w:color w:val="0000FF"/>
      <w:u w:val="single"/>
    </w:rPr>
  </w:style>
  <w:style w:type="paragraph" w:styleId="BalloonText">
    <w:name w:val="Balloon Text"/>
    <w:basedOn w:val="Normal"/>
    <w:link w:val="BalloonTextChar"/>
    <w:uiPriority w:val="99"/>
    <w:rsid w:val="004C6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locked/>
    <w:rsid w:val="004C65B6"/>
    <w:rPr>
      <w:rFonts w:ascii="Tahoma" w:hAnsi="Tahoma" w:cs="Tahoma"/>
      <w:sz w:val="16"/>
      <w:szCs w:val="16"/>
    </w:rPr>
  </w:style>
  <w:style w:type="paragraph" w:styleId="TOC4">
    <w:name w:val="toc 4"/>
    <w:basedOn w:val="Normal"/>
    <w:next w:val="Normal"/>
    <w:autoRedefine/>
    <w:uiPriority w:val="99"/>
    <w:rsid w:val="000D2D73"/>
    <w:pPr>
      <w:tabs>
        <w:tab w:val="right" w:leader="dot" w:pos="9062"/>
      </w:tabs>
      <w:spacing w:after="100" w:line="312" w:lineRule="auto"/>
      <w:ind w:left="658"/>
    </w:pPr>
  </w:style>
  <w:style w:type="paragraph" w:styleId="Header">
    <w:name w:val="header"/>
    <w:basedOn w:val="Normal"/>
    <w:link w:val="HeaderChar"/>
    <w:uiPriority w:val="99"/>
    <w:rsid w:val="00DC5B59"/>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DC5B59"/>
    <w:rPr>
      <w:rFonts w:cs="Times New Roman"/>
    </w:rPr>
  </w:style>
  <w:style w:type="paragraph" w:styleId="Footer">
    <w:name w:val="footer"/>
    <w:basedOn w:val="Normal"/>
    <w:link w:val="FooterChar"/>
    <w:uiPriority w:val="99"/>
    <w:rsid w:val="00DC5B59"/>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DC5B59"/>
    <w:rPr>
      <w:rFonts w:cs="Times New Roman"/>
    </w:rPr>
  </w:style>
  <w:style w:type="paragraph" w:styleId="NoSpacing">
    <w:name w:val="No Spacing"/>
    <w:link w:val="NoSpacingChar1"/>
    <w:uiPriority w:val="99"/>
    <w:qFormat/>
    <w:rsid w:val="00041DD2"/>
    <w:rPr>
      <w:rFonts w:eastAsia="Times New Roman"/>
      <w:lang w:val="nl-NL"/>
    </w:rPr>
  </w:style>
  <w:style w:type="character" w:customStyle="1" w:styleId="NoSpacingChar1">
    <w:name w:val="No Spacing Char1"/>
    <w:basedOn w:val="DefaultParagraphFont"/>
    <w:link w:val="NoSpacing"/>
    <w:uiPriority w:val="99"/>
    <w:locked/>
    <w:rsid w:val="00041DD2"/>
    <w:rPr>
      <w:rFonts w:eastAsia="Times New Roman" w:cs="Times New Roman"/>
      <w:sz w:val="22"/>
      <w:szCs w:val="22"/>
      <w:lang w:val="nl-NL" w:eastAsia="en-US" w:bidi="ar-SA"/>
    </w:rPr>
  </w:style>
  <w:style w:type="paragraph" w:styleId="BodyText">
    <w:name w:val="Body Text"/>
    <w:basedOn w:val="Normal"/>
    <w:link w:val="BodyTextChar"/>
    <w:uiPriority w:val="99"/>
    <w:rsid w:val="000D2FE0"/>
    <w:pPr>
      <w:spacing w:after="0" w:line="240" w:lineRule="auto"/>
      <w:jc w:val="left"/>
    </w:pPr>
    <w:rPr>
      <w:rFonts w:eastAsia="Times New Roman"/>
      <w:color w:val="000000"/>
      <w:sz w:val="24"/>
      <w:szCs w:val="24"/>
      <w:lang w:val="en-US" w:eastAsia="nl-NL"/>
    </w:rPr>
  </w:style>
  <w:style w:type="character" w:customStyle="1" w:styleId="BodyTextChar">
    <w:name w:val="Body Text Char"/>
    <w:basedOn w:val="DefaultParagraphFont"/>
    <w:link w:val="BodyText"/>
    <w:uiPriority w:val="99"/>
    <w:locked/>
    <w:rsid w:val="000D2FE0"/>
    <w:rPr>
      <w:rFonts w:ascii="Times New Roman" w:hAnsi="Times New Roman" w:cs="Times New Roman"/>
      <w:color w:val="000000"/>
      <w:sz w:val="24"/>
      <w:szCs w:val="24"/>
      <w:lang w:val="en-US" w:eastAsia="nl-NL"/>
    </w:rPr>
  </w:style>
  <w:style w:type="character" w:customStyle="1" w:styleId="NoSpacingChar">
    <w:name w:val="No Spacing Char"/>
    <w:basedOn w:val="DefaultParagraphFont"/>
    <w:uiPriority w:val="99"/>
    <w:rsid w:val="001E23EF"/>
    <w:rPr>
      <w:rFonts w:ascii="Times New Roman" w:hAnsi="Times New Roman" w:cs="Times New Roman"/>
      <w:sz w:val="22"/>
      <w:szCs w:val="22"/>
      <w:lang w:val="nl-NL" w:eastAsia="en-US"/>
    </w:rPr>
  </w:style>
</w:styles>
</file>

<file path=word/webSettings.xml><?xml version="1.0" encoding="utf-8"?>
<w:webSettings xmlns:r="http://schemas.openxmlformats.org/officeDocument/2006/relationships" xmlns:w="http://schemas.openxmlformats.org/wordprocessingml/2006/main">
  <w:divs>
    <w:div w:id="632906526">
      <w:marLeft w:val="0"/>
      <w:marRight w:val="0"/>
      <w:marTop w:val="0"/>
      <w:marBottom w:val="0"/>
      <w:divBdr>
        <w:top w:val="none" w:sz="0" w:space="0" w:color="auto"/>
        <w:left w:val="none" w:sz="0" w:space="0" w:color="auto"/>
        <w:bottom w:val="none" w:sz="0" w:space="0" w:color="auto"/>
        <w:right w:val="none" w:sz="0" w:space="0" w:color="auto"/>
      </w:divBdr>
    </w:div>
    <w:div w:id="632906527">
      <w:marLeft w:val="0"/>
      <w:marRight w:val="0"/>
      <w:marTop w:val="0"/>
      <w:marBottom w:val="0"/>
      <w:divBdr>
        <w:top w:val="none" w:sz="0" w:space="0" w:color="auto"/>
        <w:left w:val="none" w:sz="0" w:space="0" w:color="auto"/>
        <w:bottom w:val="none" w:sz="0" w:space="0" w:color="auto"/>
        <w:right w:val="none" w:sz="0" w:space="0" w:color="auto"/>
      </w:divBdr>
    </w:div>
    <w:div w:id="632906528">
      <w:marLeft w:val="0"/>
      <w:marRight w:val="0"/>
      <w:marTop w:val="0"/>
      <w:marBottom w:val="0"/>
      <w:divBdr>
        <w:top w:val="none" w:sz="0" w:space="0" w:color="auto"/>
        <w:left w:val="none" w:sz="0" w:space="0" w:color="auto"/>
        <w:bottom w:val="none" w:sz="0" w:space="0" w:color="auto"/>
        <w:right w:val="none" w:sz="0" w:space="0" w:color="auto"/>
      </w:divBdr>
    </w:div>
    <w:div w:id="632906529">
      <w:marLeft w:val="0"/>
      <w:marRight w:val="0"/>
      <w:marTop w:val="0"/>
      <w:marBottom w:val="0"/>
      <w:divBdr>
        <w:top w:val="none" w:sz="0" w:space="0" w:color="auto"/>
        <w:left w:val="none" w:sz="0" w:space="0" w:color="auto"/>
        <w:bottom w:val="none" w:sz="0" w:space="0" w:color="auto"/>
        <w:right w:val="none" w:sz="0" w:space="0" w:color="auto"/>
      </w:divBdr>
    </w:div>
    <w:div w:id="632906530">
      <w:marLeft w:val="0"/>
      <w:marRight w:val="0"/>
      <w:marTop w:val="0"/>
      <w:marBottom w:val="0"/>
      <w:divBdr>
        <w:top w:val="none" w:sz="0" w:space="0" w:color="auto"/>
        <w:left w:val="none" w:sz="0" w:space="0" w:color="auto"/>
        <w:bottom w:val="none" w:sz="0" w:space="0" w:color="auto"/>
        <w:right w:val="none" w:sz="0" w:space="0" w:color="auto"/>
      </w:divBdr>
    </w:div>
    <w:div w:id="632906531">
      <w:marLeft w:val="0"/>
      <w:marRight w:val="0"/>
      <w:marTop w:val="0"/>
      <w:marBottom w:val="0"/>
      <w:divBdr>
        <w:top w:val="none" w:sz="0" w:space="0" w:color="auto"/>
        <w:left w:val="none" w:sz="0" w:space="0" w:color="auto"/>
        <w:bottom w:val="none" w:sz="0" w:space="0" w:color="auto"/>
        <w:right w:val="none" w:sz="0" w:space="0" w:color="auto"/>
      </w:divBdr>
    </w:div>
    <w:div w:id="632906532">
      <w:marLeft w:val="0"/>
      <w:marRight w:val="0"/>
      <w:marTop w:val="0"/>
      <w:marBottom w:val="0"/>
      <w:divBdr>
        <w:top w:val="none" w:sz="0" w:space="0" w:color="auto"/>
        <w:left w:val="none" w:sz="0" w:space="0" w:color="auto"/>
        <w:bottom w:val="none" w:sz="0" w:space="0" w:color="auto"/>
        <w:right w:val="none" w:sz="0" w:space="0" w:color="auto"/>
      </w:divBdr>
    </w:div>
    <w:div w:id="632906533">
      <w:marLeft w:val="0"/>
      <w:marRight w:val="0"/>
      <w:marTop w:val="0"/>
      <w:marBottom w:val="0"/>
      <w:divBdr>
        <w:top w:val="none" w:sz="0" w:space="0" w:color="auto"/>
        <w:left w:val="none" w:sz="0" w:space="0" w:color="auto"/>
        <w:bottom w:val="none" w:sz="0" w:space="0" w:color="auto"/>
        <w:right w:val="none" w:sz="0" w:space="0" w:color="auto"/>
      </w:divBdr>
    </w:div>
    <w:div w:id="632906534">
      <w:marLeft w:val="0"/>
      <w:marRight w:val="0"/>
      <w:marTop w:val="0"/>
      <w:marBottom w:val="0"/>
      <w:divBdr>
        <w:top w:val="none" w:sz="0" w:space="0" w:color="auto"/>
        <w:left w:val="none" w:sz="0" w:space="0" w:color="auto"/>
        <w:bottom w:val="none" w:sz="0" w:space="0" w:color="auto"/>
        <w:right w:val="none" w:sz="0" w:space="0" w:color="auto"/>
      </w:divBdr>
    </w:div>
    <w:div w:id="632906535">
      <w:marLeft w:val="0"/>
      <w:marRight w:val="0"/>
      <w:marTop w:val="0"/>
      <w:marBottom w:val="0"/>
      <w:divBdr>
        <w:top w:val="none" w:sz="0" w:space="0" w:color="auto"/>
        <w:left w:val="none" w:sz="0" w:space="0" w:color="auto"/>
        <w:bottom w:val="none" w:sz="0" w:space="0" w:color="auto"/>
        <w:right w:val="none" w:sz="0" w:space="0" w:color="auto"/>
      </w:divBdr>
    </w:div>
    <w:div w:id="632906536">
      <w:marLeft w:val="0"/>
      <w:marRight w:val="0"/>
      <w:marTop w:val="0"/>
      <w:marBottom w:val="0"/>
      <w:divBdr>
        <w:top w:val="none" w:sz="0" w:space="0" w:color="auto"/>
        <w:left w:val="none" w:sz="0" w:space="0" w:color="auto"/>
        <w:bottom w:val="none" w:sz="0" w:space="0" w:color="auto"/>
        <w:right w:val="none" w:sz="0" w:space="0" w:color="auto"/>
      </w:divBdr>
    </w:div>
    <w:div w:id="632906537">
      <w:marLeft w:val="0"/>
      <w:marRight w:val="0"/>
      <w:marTop w:val="0"/>
      <w:marBottom w:val="0"/>
      <w:divBdr>
        <w:top w:val="none" w:sz="0" w:space="0" w:color="auto"/>
        <w:left w:val="none" w:sz="0" w:space="0" w:color="auto"/>
        <w:bottom w:val="none" w:sz="0" w:space="0" w:color="auto"/>
        <w:right w:val="none" w:sz="0" w:space="0" w:color="auto"/>
      </w:divBdr>
    </w:div>
    <w:div w:id="632906538">
      <w:marLeft w:val="0"/>
      <w:marRight w:val="0"/>
      <w:marTop w:val="0"/>
      <w:marBottom w:val="0"/>
      <w:divBdr>
        <w:top w:val="none" w:sz="0" w:space="0" w:color="auto"/>
        <w:left w:val="none" w:sz="0" w:space="0" w:color="auto"/>
        <w:bottom w:val="none" w:sz="0" w:space="0" w:color="auto"/>
        <w:right w:val="none" w:sz="0" w:space="0" w:color="auto"/>
      </w:divBdr>
    </w:div>
    <w:div w:id="632906539">
      <w:marLeft w:val="0"/>
      <w:marRight w:val="0"/>
      <w:marTop w:val="0"/>
      <w:marBottom w:val="0"/>
      <w:divBdr>
        <w:top w:val="none" w:sz="0" w:space="0" w:color="auto"/>
        <w:left w:val="none" w:sz="0" w:space="0" w:color="auto"/>
        <w:bottom w:val="none" w:sz="0" w:space="0" w:color="auto"/>
        <w:right w:val="none" w:sz="0" w:space="0" w:color="auto"/>
      </w:divBdr>
    </w:div>
    <w:div w:id="632906540">
      <w:marLeft w:val="0"/>
      <w:marRight w:val="0"/>
      <w:marTop w:val="0"/>
      <w:marBottom w:val="0"/>
      <w:divBdr>
        <w:top w:val="none" w:sz="0" w:space="0" w:color="auto"/>
        <w:left w:val="none" w:sz="0" w:space="0" w:color="auto"/>
        <w:bottom w:val="none" w:sz="0" w:space="0" w:color="auto"/>
        <w:right w:val="none" w:sz="0" w:space="0" w:color="auto"/>
      </w:divBdr>
    </w:div>
    <w:div w:id="632906541">
      <w:marLeft w:val="0"/>
      <w:marRight w:val="0"/>
      <w:marTop w:val="0"/>
      <w:marBottom w:val="0"/>
      <w:divBdr>
        <w:top w:val="none" w:sz="0" w:space="0" w:color="auto"/>
        <w:left w:val="none" w:sz="0" w:space="0" w:color="auto"/>
        <w:bottom w:val="none" w:sz="0" w:space="0" w:color="auto"/>
        <w:right w:val="none" w:sz="0" w:space="0" w:color="auto"/>
      </w:divBdr>
    </w:div>
    <w:div w:id="6329065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ifrs.org/The+organisation/IASCF+and+IASB.htm"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www.gt.nl/nl/thema-s/ifrs/ifrs-for-sme/1930"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y.com/NL/nl/Services/Tax/About-Tax/Horizontaal-toezicht_hom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efrag.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ifrs.com/ifrs_faq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TotalTime>
  <Pages>49</Pages>
  <Words>17885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Bachelorscriptie                                                                             Welke factoren beïnvloeden de mate van bereidheid tot de invoering van de SME-standards van de IASB?</dc:title>
  <dc:subject/>
  <dc:creator>Cheung</dc:creator>
  <cp:keywords/>
  <dc:description/>
  <cp:lastModifiedBy>H. J. Bouwer</cp:lastModifiedBy>
  <cp:revision>2</cp:revision>
  <cp:lastPrinted>2011-06-20T09:40:00Z</cp:lastPrinted>
  <dcterms:created xsi:type="dcterms:W3CDTF">2011-06-30T06:42:00Z</dcterms:created>
  <dcterms:modified xsi:type="dcterms:W3CDTF">2011-06-30T06:42:00Z</dcterms:modified>
</cp:coreProperties>
</file>