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F49" w:rsidRPr="000D2CCC" w:rsidRDefault="000D2CCC">
      <w:pPr>
        <w:rPr>
          <w:b/>
          <w:sz w:val="32"/>
          <w:szCs w:val="32"/>
        </w:rPr>
      </w:pPr>
      <w:r>
        <w:rPr>
          <w:b/>
          <w:noProof/>
          <w:sz w:val="32"/>
          <w:szCs w:val="32"/>
          <w:lang w:eastAsia="nl-NL"/>
        </w:rPr>
        <w:drawing>
          <wp:anchor distT="0" distB="0" distL="114300" distR="114300" simplePos="0" relativeHeight="251658240" behindDoc="0" locked="0" layoutInCell="1" allowOverlap="1">
            <wp:simplePos x="0" y="0"/>
            <wp:positionH relativeFrom="column">
              <wp:posOffset>2281555</wp:posOffset>
            </wp:positionH>
            <wp:positionV relativeFrom="paragraph">
              <wp:posOffset>509905</wp:posOffset>
            </wp:positionV>
            <wp:extent cx="3267075" cy="1000125"/>
            <wp:effectExtent l="19050" t="0" r="9525" b="0"/>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3267075" cy="1000125"/>
                    </a:xfrm>
                    <a:prstGeom prst="rect">
                      <a:avLst/>
                    </a:prstGeom>
                    <a:noFill/>
                    <a:ln w="9525">
                      <a:noFill/>
                      <a:miter lim="800000"/>
                      <a:headEnd/>
                      <a:tailEnd/>
                    </a:ln>
                  </pic:spPr>
                </pic:pic>
              </a:graphicData>
            </a:graphic>
          </wp:anchor>
        </w:drawing>
      </w:r>
      <w:r w:rsidR="00F85F49" w:rsidRPr="000D2CCC">
        <w:rPr>
          <w:b/>
          <w:sz w:val="32"/>
          <w:szCs w:val="32"/>
        </w:rPr>
        <w:t>Erasmus Universiteit Rotterdam</w:t>
      </w:r>
    </w:p>
    <w:p w:rsidR="00F85F49" w:rsidRPr="000D2CCC" w:rsidRDefault="00F85F49">
      <w:pPr>
        <w:rPr>
          <w:b/>
          <w:sz w:val="32"/>
          <w:szCs w:val="32"/>
        </w:rPr>
      </w:pPr>
      <w:r w:rsidRPr="000D2CCC">
        <w:rPr>
          <w:b/>
          <w:sz w:val="32"/>
          <w:szCs w:val="32"/>
        </w:rPr>
        <w:t>Faculteit der Economische Wetenschappen</w:t>
      </w:r>
    </w:p>
    <w:p w:rsidR="00F85F49" w:rsidRPr="000D2CCC" w:rsidRDefault="00F85F49">
      <w:pPr>
        <w:rPr>
          <w:b/>
          <w:sz w:val="32"/>
          <w:szCs w:val="32"/>
        </w:rPr>
      </w:pPr>
      <w:r w:rsidRPr="000D2CCC">
        <w:rPr>
          <w:b/>
          <w:sz w:val="32"/>
          <w:szCs w:val="32"/>
        </w:rPr>
        <w:t>Capaciteitsgroep Bedrijfseconomie</w:t>
      </w:r>
    </w:p>
    <w:p w:rsidR="00F85F49" w:rsidRPr="000D2CCC" w:rsidRDefault="00F85F49">
      <w:pPr>
        <w:rPr>
          <w:b/>
          <w:sz w:val="32"/>
          <w:szCs w:val="32"/>
          <w:lang w:val="en-US"/>
        </w:rPr>
      </w:pPr>
      <w:proofErr w:type="spellStart"/>
      <w:r w:rsidRPr="000D2CCC">
        <w:rPr>
          <w:b/>
          <w:sz w:val="32"/>
          <w:szCs w:val="32"/>
          <w:lang w:val="en-US"/>
        </w:rPr>
        <w:t>Sectie</w:t>
      </w:r>
      <w:proofErr w:type="spellEnd"/>
      <w:r w:rsidRPr="000D2CCC">
        <w:rPr>
          <w:b/>
          <w:sz w:val="32"/>
          <w:szCs w:val="32"/>
          <w:lang w:val="en-US"/>
        </w:rPr>
        <w:t xml:space="preserve"> Accounting, Auditing and Control</w:t>
      </w:r>
    </w:p>
    <w:p w:rsidR="00F85F49" w:rsidRDefault="00F85F49">
      <w:pPr>
        <w:rPr>
          <w:b/>
          <w:sz w:val="40"/>
          <w:szCs w:val="40"/>
          <w:lang w:val="en-US"/>
        </w:rPr>
      </w:pPr>
    </w:p>
    <w:p w:rsidR="00F574C9" w:rsidRDefault="00F574C9">
      <w:pPr>
        <w:rPr>
          <w:b/>
          <w:sz w:val="40"/>
          <w:szCs w:val="40"/>
          <w:lang w:val="en-US"/>
        </w:rPr>
      </w:pPr>
    </w:p>
    <w:p w:rsidR="00F574C9" w:rsidRDefault="00F574C9">
      <w:pPr>
        <w:rPr>
          <w:b/>
          <w:sz w:val="40"/>
          <w:szCs w:val="40"/>
          <w:lang w:val="en-US"/>
        </w:rPr>
      </w:pPr>
      <w:r>
        <w:rPr>
          <w:b/>
          <w:sz w:val="40"/>
          <w:szCs w:val="40"/>
          <w:lang w:val="en-US"/>
        </w:rPr>
        <w:tab/>
      </w:r>
      <w:r>
        <w:rPr>
          <w:b/>
          <w:sz w:val="40"/>
          <w:szCs w:val="40"/>
          <w:lang w:val="en-US"/>
        </w:rPr>
        <w:tab/>
      </w:r>
      <w:r>
        <w:rPr>
          <w:b/>
          <w:sz w:val="40"/>
          <w:szCs w:val="40"/>
          <w:lang w:val="en-US"/>
        </w:rPr>
        <w:tab/>
      </w:r>
      <w:r>
        <w:rPr>
          <w:b/>
          <w:sz w:val="40"/>
          <w:szCs w:val="40"/>
          <w:lang w:val="en-US"/>
        </w:rPr>
        <w:tab/>
        <w:t>IFRS SME</w:t>
      </w:r>
      <w:r>
        <w:rPr>
          <w:b/>
          <w:sz w:val="40"/>
          <w:szCs w:val="40"/>
          <w:lang w:val="en-US"/>
        </w:rPr>
        <w:tab/>
      </w:r>
    </w:p>
    <w:p w:rsidR="00F574C9" w:rsidRDefault="00F574C9">
      <w:pPr>
        <w:rPr>
          <w:b/>
          <w:sz w:val="32"/>
          <w:szCs w:val="32"/>
          <w:lang w:val="en-US"/>
        </w:rPr>
      </w:pPr>
      <w:r>
        <w:rPr>
          <w:b/>
          <w:sz w:val="40"/>
          <w:szCs w:val="40"/>
          <w:lang w:val="en-US"/>
        </w:rPr>
        <w:tab/>
      </w:r>
      <w:r>
        <w:rPr>
          <w:b/>
          <w:sz w:val="40"/>
          <w:szCs w:val="40"/>
          <w:lang w:val="en-US"/>
        </w:rPr>
        <w:tab/>
      </w:r>
      <w:r w:rsidRPr="00F574C9">
        <w:rPr>
          <w:b/>
          <w:sz w:val="32"/>
          <w:szCs w:val="32"/>
          <w:lang w:val="en-US"/>
        </w:rPr>
        <w:tab/>
      </w:r>
      <w:proofErr w:type="spellStart"/>
      <w:r w:rsidRPr="00F574C9">
        <w:rPr>
          <w:b/>
          <w:sz w:val="32"/>
          <w:szCs w:val="32"/>
          <w:lang w:val="en-US"/>
        </w:rPr>
        <w:t>Invloed</w:t>
      </w:r>
      <w:proofErr w:type="spellEnd"/>
      <w:r w:rsidRPr="00F574C9">
        <w:rPr>
          <w:b/>
          <w:sz w:val="32"/>
          <w:szCs w:val="32"/>
          <w:lang w:val="en-US"/>
        </w:rPr>
        <w:t xml:space="preserve"> op </w:t>
      </w:r>
      <w:proofErr w:type="spellStart"/>
      <w:r w:rsidRPr="00F574C9">
        <w:rPr>
          <w:b/>
          <w:sz w:val="32"/>
          <w:szCs w:val="32"/>
          <w:lang w:val="en-US"/>
        </w:rPr>
        <w:t>ondernemingen</w:t>
      </w:r>
      <w:proofErr w:type="spellEnd"/>
    </w:p>
    <w:p w:rsidR="00F574C9" w:rsidRDefault="00F574C9">
      <w:pPr>
        <w:rPr>
          <w:b/>
          <w:sz w:val="32"/>
          <w:szCs w:val="32"/>
          <w:lang w:val="en-US"/>
        </w:rPr>
      </w:pPr>
    </w:p>
    <w:p w:rsidR="00F574C9" w:rsidRDefault="00F574C9">
      <w:pPr>
        <w:rPr>
          <w:b/>
          <w:sz w:val="32"/>
          <w:szCs w:val="32"/>
          <w:lang w:val="en-US"/>
        </w:rPr>
      </w:pPr>
    </w:p>
    <w:p w:rsidR="00F574C9" w:rsidRDefault="00F574C9">
      <w:pPr>
        <w:rPr>
          <w:b/>
          <w:sz w:val="32"/>
          <w:szCs w:val="32"/>
          <w:lang w:val="en-US"/>
        </w:rPr>
      </w:pPr>
    </w:p>
    <w:p w:rsidR="00F574C9" w:rsidRDefault="00F574C9">
      <w:pPr>
        <w:rPr>
          <w:b/>
          <w:sz w:val="32"/>
          <w:szCs w:val="32"/>
          <w:lang w:val="en-US"/>
        </w:rPr>
      </w:pPr>
      <w:proofErr w:type="spellStart"/>
      <w:r>
        <w:rPr>
          <w:b/>
          <w:sz w:val="32"/>
          <w:szCs w:val="32"/>
          <w:lang w:val="en-US"/>
        </w:rPr>
        <w:t>Bachelorscriptie</w:t>
      </w:r>
      <w:proofErr w:type="spellEnd"/>
    </w:p>
    <w:p w:rsidR="00F574C9" w:rsidRDefault="00F574C9">
      <w:pPr>
        <w:rPr>
          <w:b/>
          <w:sz w:val="32"/>
          <w:szCs w:val="32"/>
          <w:lang w:val="en-US"/>
        </w:rPr>
      </w:pPr>
    </w:p>
    <w:p w:rsidR="00F574C9" w:rsidRDefault="00F574C9">
      <w:pPr>
        <w:rPr>
          <w:b/>
          <w:sz w:val="32"/>
          <w:szCs w:val="32"/>
          <w:lang w:val="en-US"/>
        </w:rPr>
      </w:pPr>
    </w:p>
    <w:p w:rsidR="00F574C9" w:rsidRPr="00F574C9" w:rsidRDefault="00F574C9">
      <w:pPr>
        <w:rPr>
          <w:b/>
          <w:sz w:val="32"/>
          <w:szCs w:val="32"/>
        </w:rPr>
      </w:pPr>
      <w:r w:rsidRPr="00F574C9">
        <w:rPr>
          <w:b/>
          <w:sz w:val="32"/>
          <w:szCs w:val="32"/>
        </w:rPr>
        <w:t>Student: Vincent Naburgh</w:t>
      </w:r>
    </w:p>
    <w:p w:rsidR="00F574C9" w:rsidRPr="00F574C9" w:rsidRDefault="00F574C9">
      <w:pPr>
        <w:rPr>
          <w:b/>
          <w:sz w:val="32"/>
          <w:szCs w:val="32"/>
        </w:rPr>
      </w:pPr>
      <w:r w:rsidRPr="00F574C9">
        <w:rPr>
          <w:b/>
          <w:sz w:val="32"/>
          <w:szCs w:val="32"/>
        </w:rPr>
        <w:t>Studentnummer: 318725</w:t>
      </w:r>
    </w:p>
    <w:p w:rsidR="00F574C9" w:rsidRDefault="00F574C9">
      <w:pPr>
        <w:rPr>
          <w:b/>
          <w:sz w:val="32"/>
          <w:szCs w:val="32"/>
        </w:rPr>
      </w:pPr>
      <w:r w:rsidRPr="00F574C9">
        <w:rPr>
          <w:b/>
          <w:sz w:val="32"/>
          <w:szCs w:val="32"/>
        </w:rPr>
        <w:t xml:space="preserve">Scriptiebegeleider: Dr. </w:t>
      </w:r>
      <w:r>
        <w:rPr>
          <w:b/>
          <w:sz w:val="32"/>
          <w:szCs w:val="32"/>
        </w:rPr>
        <w:t>d</w:t>
      </w:r>
      <w:r w:rsidRPr="00F574C9">
        <w:rPr>
          <w:b/>
          <w:sz w:val="32"/>
          <w:szCs w:val="32"/>
        </w:rPr>
        <w:t xml:space="preserve">rs. </w:t>
      </w:r>
      <w:r>
        <w:rPr>
          <w:b/>
          <w:sz w:val="32"/>
          <w:szCs w:val="32"/>
        </w:rPr>
        <w:t>d</w:t>
      </w:r>
      <w:r w:rsidRPr="00F574C9">
        <w:rPr>
          <w:b/>
          <w:sz w:val="32"/>
          <w:szCs w:val="32"/>
        </w:rPr>
        <w:t>rs. C</w:t>
      </w:r>
      <w:r>
        <w:rPr>
          <w:b/>
          <w:sz w:val="32"/>
          <w:szCs w:val="32"/>
        </w:rPr>
        <w:t xml:space="preserve">. </w:t>
      </w:r>
      <w:proofErr w:type="spellStart"/>
      <w:r>
        <w:rPr>
          <w:b/>
          <w:sz w:val="32"/>
          <w:szCs w:val="32"/>
        </w:rPr>
        <w:t>Esseboom</w:t>
      </w:r>
      <w:proofErr w:type="spellEnd"/>
    </w:p>
    <w:p w:rsidR="00F574C9" w:rsidRDefault="00F574C9">
      <w:pPr>
        <w:rPr>
          <w:b/>
          <w:sz w:val="32"/>
          <w:szCs w:val="32"/>
        </w:rPr>
      </w:pPr>
      <w:r w:rsidRPr="00F574C9">
        <w:rPr>
          <w:b/>
          <w:sz w:val="32"/>
          <w:szCs w:val="32"/>
        </w:rPr>
        <w:t xml:space="preserve">Meelezer: Drs. R.D. </w:t>
      </w:r>
      <w:proofErr w:type="spellStart"/>
      <w:r w:rsidRPr="00F574C9">
        <w:rPr>
          <w:b/>
          <w:sz w:val="32"/>
          <w:szCs w:val="32"/>
        </w:rPr>
        <w:t>Ach</w:t>
      </w:r>
      <w:r>
        <w:rPr>
          <w:b/>
          <w:sz w:val="32"/>
          <w:szCs w:val="32"/>
        </w:rPr>
        <w:t>aibersing</w:t>
      </w:r>
      <w:proofErr w:type="spellEnd"/>
      <w:r>
        <w:rPr>
          <w:b/>
          <w:sz w:val="32"/>
          <w:szCs w:val="32"/>
        </w:rPr>
        <w:t xml:space="preserve"> RA</w:t>
      </w:r>
    </w:p>
    <w:p w:rsidR="00F574C9" w:rsidRPr="00F574C9" w:rsidRDefault="00F574C9">
      <w:pPr>
        <w:rPr>
          <w:b/>
          <w:sz w:val="32"/>
          <w:szCs w:val="32"/>
        </w:rPr>
      </w:pPr>
      <w:r>
        <w:rPr>
          <w:b/>
          <w:sz w:val="32"/>
          <w:szCs w:val="32"/>
        </w:rPr>
        <w:t>Juli 2011</w:t>
      </w:r>
    </w:p>
    <w:p w:rsidR="00CA5019" w:rsidRPr="0065082A" w:rsidRDefault="00FE303E" w:rsidP="0065082A">
      <w:pPr>
        <w:pStyle w:val="Kop2"/>
        <w:rPr>
          <w:color w:val="auto"/>
        </w:rPr>
      </w:pPr>
      <w:bookmarkStart w:id="0" w:name="_Toc299913139"/>
      <w:r w:rsidRPr="0065082A">
        <w:rPr>
          <w:color w:val="auto"/>
        </w:rPr>
        <w:lastRenderedPageBreak/>
        <w:t>V</w:t>
      </w:r>
      <w:r w:rsidR="00CA5019" w:rsidRPr="0065082A">
        <w:rPr>
          <w:color w:val="auto"/>
        </w:rPr>
        <w:t>oorwoord</w:t>
      </w:r>
      <w:bookmarkEnd w:id="0"/>
    </w:p>
    <w:p w:rsidR="00CA5019" w:rsidRDefault="00CA5019" w:rsidP="00FE122E">
      <w:pPr>
        <w:spacing w:line="360" w:lineRule="auto"/>
      </w:pPr>
      <w:r>
        <w:t xml:space="preserve">Met deze scriptie rond ik de Bachelorfase van de opleiding Economie en Bedrijfseconomie aan de Erasmus Universiteit te Rotterdam af. Tijdens het onderzoek naar de IFRS </w:t>
      </w:r>
      <w:proofErr w:type="spellStart"/>
      <w:r>
        <w:t>SME-standaard</w:t>
      </w:r>
      <w:proofErr w:type="spellEnd"/>
      <w:r>
        <w:t xml:space="preserve"> heb ik veel waardevolle kennis opgedaan over de verslaggeving van kleinere ondernemingen. </w:t>
      </w:r>
    </w:p>
    <w:p w:rsidR="0021394E" w:rsidRDefault="0021394E" w:rsidP="00FE122E">
      <w:pPr>
        <w:spacing w:line="360" w:lineRule="auto"/>
      </w:pPr>
      <w:r>
        <w:t xml:space="preserve">Het feit dat </w:t>
      </w:r>
      <w:r w:rsidR="00CA5019">
        <w:t xml:space="preserve">de standaard zeer recent is </w:t>
      </w:r>
      <w:r>
        <w:t xml:space="preserve">uitgebracht, was voor mij een stimulans om mijn onderzoek te doen naar de mogelijke invloed ervan, waarbij ik gekozen heb voor de invloed op ondernemingen als voornaamste invalshoek. Sinds de publicatie van de standaard is nog niet veel tijd verstreken, waardoor het zeer actueel is en dus bij uitstek geschikt voor een onderzoek naar de mogelijke gevolgen van toepassing ervan. </w:t>
      </w:r>
    </w:p>
    <w:p w:rsidR="0021394E" w:rsidRDefault="0021394E" w:rsidP="00FE122E">
      <w:pPr>
        <w:spacing w:line="360" w:lineRule="auto"/>
      </w:pPr>
      <w:r>
        <w:t xml:space="preserve">Graag wil ik mijn begeleider, dr. drs. drs. C. </w:t>
      </w:r>
      <w:proofErr w:type="spellStart"/>
      <w:r>
        <w:t>Esseboom</w:t>
      </w:r>
      <w:proofErr w:type="spellEnd"/>
      <w:r>
        <w:t>, bedanke</w:t>
      </w:r>
      <w:r w:rsidR="00986129">
        <w:t xml:space="preserve">n voor zijn adviezen, die met name tijdens het schrijfproces een welkome ondersteuning vormden. </w:t>
      </w:r>
    </w:p>
    <w:p w:rsidR="00986129" w:rsidRDefault="00986129" w:rsidP="00FE122E">
      <w:pPr>
        <w:spacing w:line="360" w:lineRule="auto"/>
      </w:pPr>
      <w:r>
        <w:t>Vincent Naburgh,</w:t>
      </w:r>
    </w:p>
    <w:p w:rsidR="00986129" w:rsidRDefault="00986129" w:rsidP="00FE122E">
      <w:pPr>
        <w:spacing w:line="360" w:lineRule="auto"/>
      </w:pPr>
      <w:r>
        <w:t>Dordrecht, juli 2011</w:t>
      </w:r>
    </w:p>
    <w:p w:rsidR="00CA5019" w:rsidRDefault="00CA5019" w:rsidP="00CA5019">
      <w:pPr>
        <w:spacing w:line="360" w:lineRule="auto"/>
        <w:rPr>
          <w:b/>
        </w:rPr>
      </w:pPr>
      <w:r>
        <w:rPr>
          <w:b/>
        </w:rPr>
        <w:br w:type="page"/>
      </w:r>
    </w:p>
    <w:p w:rsidR="00E75723" w:rsidRPr="00FE122E" w:rsidRDefault="00E75723" w:rsidP="00FE122E">
      <w:pPr>
        <w:pStyle w:val="Kop2"/>
        <w:rPr>
          <w:color w:val="auto"/>
        </w:rPr>
      </w:pPr>
      <w:bookmarkStart w:id="1" w:name="_Toc299913140"/>
      <w:r w:rsidRPr="00FE122E">
        <w:rPr>
          <w:color w:val="auto"/>
        </w:rPr>
        <w:lastRenderedPageBreak/>
        <w:t>Abstract</w:t>
      </w:r>
      <w:bookmarkEnd w:id="1"/>
    </w:p>
    <w:p w:rsidR="00E75723" w:rsidRDefault="00E75723" w:rsidP="00E75723">
      <w:pPr>
        <w:spacing w:line="360" w:lineRule="auto"/>
      </w:pPr>
      <w:r w:rsidRPr="00FD20D7">
        <w:t xml:space="preserve">In juli 2009 heeft de International Accounting </w:t>
      </w:r>
      <w:proofErr w:type="spellStart"/>
      <w:r w:rsidRPr="00FD20D7">
        <w:t>Standards</w:t>
      </w:r>
      <w:proofErr w:type="spellEnd"/>
      <w:r w:rsidRPr="00FD20D7">
        <w:t xml:space="preserve"> Board een </w:t>
      </w:r>
      <w:r>
        <w:t xml:space="preserve">op zichzelf staande </w:t>
      </w:r>
      <w:r w:rsidRPr="00FD20D7">
        <w:t>standa</w:t>
      </w:r>
      <w:r>
        <w:t>a</w:t>
      </w:r>
      <w:r w:rsidRPr="00FD20D7">
        <w:t xml:space="preserve">rd gepubliceerd voor </w:t>
      </w:r>
      <w:proofErr w:type="spellStart"/>
      <w:r w:rsidRPr="00FD20D7">
        <w:t>small</w:t>
      </w:r>
      <w:proofErr w:type="spellEnd"/>
      <w:r w:rsidRPr="00FD20D7">
        <w:t xml:space="preserve"> and </w:t>
      </w:r>
      <w:proofErr w:type="spellStart"/>
      <w:r w:rsidRPr="00FD20D7">
        <w:t>medium-sized</w:t>
      </w:r>
      <w:proofErr w:type="spellEnd"/>
      <w:r w:rsidRPr="00FD20D7">
        <w:t xml:space="preserve"> </w:t>
      </w:r>
      <w:proofErr w:type="spellStart"/>
      <w:r w:rsidRPr="00FD20D7">
        <w:t>entities</w:t>
      </w:r>
      <w:proofErr w:type="spellEnd"/>
      <w:r w:rsidRPr="00FD20D7">
        <w:t>.</w:t>
      </w:r>
      <w:r>
        <w:t xml:space="preserve"> Deze </w:t>
      </w:r>
      <w:r>
        <w:rPr>
          <w:i/>
        </w:rPr>
        <w:t xml:space="preserve">International Financial Report Standard </w:t>
      </w:r>
      <w:proofErr w:type="spellStart"/>
      <w:r>
        <w:rPr>
          <w:i/>
        </w:rPr>
        <w:t>for</w:t>
      </w:r>
      <w:proofErr w:type="spellEnd"/>
      <w:r>
        <w:rPr>
          <w:i/>
        </w:rPr>
        <w:t xml:space="preserve"> </w:t>
      </w:r>
      <w:proofErr w:type="spellStart"/>
      <w:r>
        <w:rPr>
          <w:i/>
        </w:rPr>
        <w:t>Small</w:t>
      </w:r>
      <w:proofErr w:type="spellEnd"/>
      <w:r>
        <w:rPr>
          <w:i/>
        </w:rPr>
        <w:t xml:space="preserve"> and </w:t>
      </w:r>
      <w:proofErr w:type="spellStart"/>
      <w:r>
        <w:rPr>
          <w:i/>
        </w:rPr>
        <w:t>Medium-sized</w:t>
      </w:r>
      <w:proofErr w:type="spellEnd"/>
      <w:r>
        <w:rPr>
          <w:i/>
        </w:rPr>
        <w:t xml:space="preserve"> </w:t>
      </w:r>
      <w:proofErr w:type="spellStart"/>
      <w:r>
        <w:rPr>
          <w:i/>
        </w:rPr>
        <w:t>Entities</w:t>
      </w:r>
      <w:proofErr w:type="spellEnd"/>
      <w:r>
        <w:rPr>
          <w:rStyle w:val="Voetnootmarkering"/>
          <w:i/>
        </w:rPr>
        <w:footnoteReference w:id="1"/>
      </w:r>
      <w:r>
        <w:rPr>
          <w:i/>
        </w:rPr>
        <w:t xml:space="preserve">, </w:t>
      </w:r>
      <w:r>
        <w:t xml:space="preserve">is een vereenvoudigde vorm van de International Financial </w:t>
      </w:r>
      <w:proofErr w:type="spellStart"/>
      <w:r>
        <w:t>Reporting</w:t>
      </w:r>
      <w:proofErr w:type="spellEnd"/>
      <w:r>
        <w:t xml:space="preserve"> </w:t>
      </w:r>
      <w:proofErr w:type="spellStart"/>
      <w:r>
        <w:t>Standards</w:t>
      </w:r>
      <w:proofErr w:type="spellEnd"/>
      <w:r>
        <w:rPr>
          <w:rStyle w:val="Voetnootmarkering"/>
        </w:rPr>
        <w:footnoteReference w:id="2"/>
      </w:r>
      <w:r>
        <w:t xml:space="preserve">, die in Europa verplicht zijn gesteld voor de geconsolideerde jaarrekening van beursgenoteerde ondernemingen. </w:t>
      </w:r>
    </w:p>
    <w:p w:rsidR="00E75723" w:rsidRDefault="00E75723" w:rsidP="00E75723">
      <w:pPr>
        <w:spacing w:line="360" w:lineRule="auto"/>
      </w:pPr>
      <w:r>
        <w:t>In deze scriptie is onderzocht wat de invloed is van de standaard op ondernemingen die binnen de doelgroep vallen. Om tot een a</w:t>
      </w:r>
      <w:r w:rsidR="004126BC">
        <w:t xml:space="preserve">ntwoord op deze vraag te komen is </w:t>
      </w:r>
      <w:r>
        <w:t xml:space="preserve">een aantal stappen ondernomen. </w:t>
      </w:r>
    </w:p>
    <w:p w:rsidR="00E75723" w:rsidRDefault="00E75723" w:rsidP="00E75723">
      <w:pPr>
        <w:spacing w:line="360" w:lineRule="auto"/>
      </w:pPr>
      <w:r>
        <w:t xml:space="preserve">Allereerst is beschreven wat het project precies inhoudt, waarbij aandacht is geschonken aan de organisatie achter de standaard, de doelgroep en het internationale draagvlak. Ook de totstandkoming van de standaard wordt uitgebreid behandeld, waarbij de motieven voor de start van het project worden behandeld. </w:t>
      </w:r>
    </w:p>
    <w:p w:rsidR="00E75723" w:rsidRDefault="00E75723" w:rsidP="00E75723">
      <w:pPr>
        <w:spacing w:line="360" w:lineRule="auto"/>
      </w:pPr>
      <w:r>
        <w:t xml:space="preserve">Vervolgens zijn de verschillen uiteengezet tussen toepassing van de IFRS </w:t>
      </w:r>
      <w:proofErr w:type="spellStart"/>
      <w:r>
        <w:t>SME-standaard</w:t>
      </w:r>
      <w:proofErr w:type="spellEnd"/>
      <w:r>
        <w:t>, de Nederlandse wet- en regelgeving en full IFRS. Deze analyse is benut om in een volgend hoofdstuk de voor- en nadelen van toepassing van IFRS SME te beschrijven, waarbij ook andere aspecten aan de orde zijn gekomen. Zo blijkt de internationale vergelijkbaarheid toe te kunnen nemen bij wereldwijde toepassing van de standaard, wat voor ondernemingen kan leiden tot lagere financieringskosten.</w:t>
      </w:r>
    </w:p>
    <w:p w:rsidR="00E75723" w:rsidRDefault="00E75723" w:rsidP="00E75723">
      <w:pPr>
        <w:spacing w:line="360" w:lineRule="auto"/>
      </w:pPr>
      <w:r>
        <w:t xml:space="preserve">Hierbij wordt ook een aantal gevolgen voor andere partijen, zoals gebruikers van de jaarrekening, uiteengezet. Dit is bedoeld om een invulling te geven aan de overwegingen die hebben geleid tot het project. Ter illustratie is ook een aantal meningen over de IFRS </w:t>
      </w:r>
      <w:proofErr w:type="spellStart"/>
      <w:r>
        <w:t>SME-standaard</w:t>
      </w:r>
      <w:proofErr w:type="spellEnd"/>
      <w:r>
        <w:t xml:space="preserve"> opgenomen, waar een aantal inzichten uit is voortgekomen voor het onderzoek naar de invloed van de standaard op ondernemingen. </w:t>
      </w:r>
    </w:p>
    <w:p w:rsidR="00E75723" w:rsidRPr="00FD20D7" w:rsidRDefault="00E75723" w:rsidP="00E75723">
      <w:pPr>
        <w:spacing w:line="360" w:lineRule="auto"/>
      </w:pPr>
      <w:r>
        <w:t xml:space="preserve">Het resultaat van het onderzoek blijkt een voorwaardelijk antwoord op de centrale probleemstelling in te houden. De invloed van IFRS SME op ondernemingen uit de doelgroep hangt af van een aantal omstandigheden. Hierbij blijkt met name het aantal landen dat de standaard invoert van belang. Een groot aantal landen leidt tot een forse verbetering van de internationale vergelijkbaarheid van verslaggeving, wat ervoor kan zorgen dat investeerders meer buitenlandse ondernemingen gaan financieren. Dit grotere aanbod van investeerders kan voor ondernemingen leiden tot lagere financieringskosten, maar de omvang van dit effect moet nader onderzocht worden. </w:t>
      </w:r>
    </w:p>
    <w:p w:rsidR="004126BC" w:rsidRDefault="004126BC" w:rsidP="004126BC">
      <w:pPr>
        <w:pStyle w:val="Kop2"/>
        <w:rPr>
          <w:color w:val="auto"/>
        </w:rPr>
      </w:pPr>
      <w:bookmarkStart w:id="2" w:name="_Toc299913141"/>
      <w:r>
        <w:rPr>
          <w:color w:val="auto"/>
        </w:rPr>
        <w:lastRenderedPageBreak/>
        <w:t>Inhoudsopgave</w:t>
      </w:r>
      <w:bookmarkEnd w:id="2"/>
    </w:p>
    <w:sdt>
      <w:sdtPr>
        <w:id w:val="10212525"/>
        <w:docPartObj>
          <w:docPartGallery w:val="Table of Contents"/>
          <w:docPartUnique/>
        </w:docPartObj>
      </w:sdtPr>
      <w:sdtEndPr>
        <w:rPr>
          <w:rFonts w:asciiTheme="minorHAnsi" w:eastAsiaTheme="minorHAnsi" w:hAnsiTheme="minorHAnsi" w:cstheme="minorBidi"/>
          <w:b w:val="0"/>
          <w:bCs w:val="0"/>
          <w:color w:val="auto"/>
          <w:sz w:val="22"/>
          <w:szCs w:val="22"/>
        </w:rPr>
      </w:sdtEndPr>
      <w:sdtContent>
        <w:p w:rsidR="004126BC" w:rsidRDefault="004126BC">
          <w:pPr>
            <w:pStyle w:val="Kopvaninhoudsopgave"/>
          </w:pPr>
        </w:p>
        <w:p w:rsidR="004126BC" w:rsidRDefault="004126BC">
          <w:pPr>
            <w:pStyle w:val="Inhopg2"/>
            <w:tabs>
              <w:tab w:val="right" w:leader="dot" w:pos="9062"/>
            </w:tabs>
            <w:rPr>
              <w:rFonts w:eastAsiaTheme="minorEastAsia"/>
              <w:noProof/>
              <w:lang w:eastAsia="nl-NL"/>
            </w:rPr>
          </w:pPr>
          <w:r>
            <w:fldChar w:fldCharType="begin"/>
          </w:r>
          <w:r>
            <w:instrText xml:space="preserve"> TOC \o "1-3" \h \z \u </w:instrText>
          </w:r>
          <w:r>
            <w:fldChar w:fldCharType="separate"/>
          </w:r>
          <w:hyperlink w:anchor="_Toc299913139" w:history="1">
            <w:r w:rsidRPr="00DB24A6">
              <w:rPr>
                <w:rStyle w:val="Hyperlink"/>
                <w:noProof/>
              </w:rPr>
              <w:t>Voorwoord</w:t>
            </w:r>
            <w:r>
              <w:rPr>
                <w:noProof/>
                <w:webHidden/>
              </w:rPr>
              <w:tab/>
            </w:r>
            <w:r>
              <w:rPr>
                <w:noProof/>
                <w:webHidden/>
              </w:rPr>
              <w:fldChar w:fldCharType="begin"/>
            </w:r>
            <w:r>
              <w:rPr>
                <w:noProof/>
                <w:webHidden/>
              </w:rPr>
              <w:instrText xml:space="preserve"> PAGEREF _Toc299913139 \h </w:instrText>
            </w:r>
            <w:r>
              <w:rPr>
                <w:noProof/>
                <w:webHidden/>
              </w:rPr>
            </w:r>
            <w:r>
              <w:rPr>
                <w:noProof/>
                <w:webHidden/>
              </w:rPr>
              <w:fldChar w:fldCharType="separate"/>
            </w:r>
            <w:r>
              <w:rPr>
                <w:noProof/>
                <w:webHidden/>
              </w:rPr>
              <w:t>2</w:t>
            </w:r>
            <w:r>
              <w:rPr>
                <w:noProof/>
                <w:webHidden/>
              </w:rPr>
              <w:fldChar w:fldCharType="end"/>
            </w:r>
          </w:hyperlink>
        </w:p>
        <w:p w:rsidR="004126BC" w:rsidRDefault="004126BC">
          <w:pPr>
            <w:pStyle w:val="Inhopg2"/>
            <w:tabs>
              <w:tab w:val="right" w:leader="dot" w:pos="9062"/>
            </w:tabs>
            <w:rPr>
              <w:rFonts w:eastAsiaTheme="minorEastAsia"/>
              <w:noProof/>
              <w:lang w:eastAsia="nl-NL"/>
            </w:rPr>
          </w:pPr>
          <w:hyperlink w:anchor="_Toc299913140" w:history="1">
            <w:r w:rsidRPr="00DB24A6">
              <w:rPr>
                <w:rStyle w:val="Hyperlink"/>
                <w:noProof/>
              </w:rPr>
              <w:t>Abstract</w:t>
            </w:r>
            <w:r>
              <w:rPr>
                <w:noProof/>
                <w:webHidden/>
              </w:rPr>
              <w:tab/>
            </w:r>
            <w:r>
              <w:rPr>
                <w:noProof/>
                <w:webHidden/>
              </w:rPr>
              <w:fldChar w:fldCharType="begin"/>
            </w:r>
            <w:r>
              <w:rPr>
                <w:noProof/>
                <w:webHidden/>
              </w:rPr>
              <w:instrText xml:space="preserve"> PAGEREF _Toc299913140 \h </w:instrText>
            </w:r>
            <w:r>
              <w:rPr>
                <w:noProof/>
                <w:webHidden/>
              </w:rPr>
            </w:r>
            <w:r>
              <w:rPr>
                <w:noProof/>
                <w:webHidden/>
              </w:rPr>
              <w:fldChar w:fldCharType="separate"/>
            </w:r>
            <w:r>
              <w:rPr>
                <w:noProof/>
                <w:webHidden/>
              </w:rPr>
              <w:t>3</w:t>
            </w:r>
            <w:r>
              <w:rPr>
                <w:noProof/>
                <w:webHidden/>
              </w:rPr>
              <w:fldChar w:fldCharType="end"/>
            </w:r>
          </w:hyperlink>
        </w:p>
        <w:p w:rsidR="004126BC" w:rsidRDefault="004126BC">
          <w:pPr>
            <w:pStyle w:val="Inhopg2"/>
            <w:tabs>
              <w:tab w:val="right" w:leader="dot" w:pos="9062"/>
            </w:tabs>
            <w:rPr>
              <w:rFonts w:eastAsiaTheme="minorEastAsia"/>
              <w:noProof/>
              <w:lang w:eastAsia="nl-NL"/>
            </w:rPr>
          </w:pPr>
          <w:hyperlink w:anchor="_Toc299913141" w:history="1">
            <w:r w:rsidRPr="00DB24A6">
              <w:rPr>
                <w:rStyle w:val="Hyperlink"/>
                <w:noProof/>
              </w:rPr>
              <w:t>Inhoudsopgave</w:t>
            </w:r>
            <w:r>
              <w:rPr>
                <w:noProof/>
                <w:webHidden/>
              </w:rPr>
              <w:tab/>
            </w:r>
            <w:r>
              <w:rPr>
                <w:noProof/>
                <w:webHidden/>
              </w:rPr>
              <w:fldChar w:fldCharType="begin"/>
            </w:r>
            <w:r>
              <w:rPr>
                <w:noProof/>
                <w:webHidden/>
              </w:rPr>
              <w:instrText xml:space="preserve"> PAGEREF _Toc299913141 \h </w:instrText>
            </w:r>
            <w:r>
              <w:rPr>
                <w:noProof/>
                <w:webHidden/>
              </w:rPr>
            </w:r>
            <w:r>
              <w:rPr>
                <w:noProof/>
                <w:webHidden/>
              </w:rPr>
              <w:fldChar w:fldCharType="separate"/>
            </w:r>
            <w:r>
              <w:rPr>
                <w:noProof/>
                <w:webHidden/>
              </w:rPr>
              <w:t>4</w:t>
            </w:r>
            <w:r>
              <w:rPr>
                <w:noProof/>
                <w:webHidden/>
              </w:rPr>
              <w:fldChar w:fldCharType="end"/>
            </w:r>
          </w:hyperlink>
        </w:p>
        <w:p w:rsidR="004126BC" w:rsidRDefault="004126BC">
          <w:pPr>
            <w:pStyle w:val="Inhopg2"/>
            <w:tabs>
              <w:tab w:val="right" w:leader="dot" w:pos="9062"/>
            </w:tabs>
            <w:rPr>
              <w:rFonts w:eastAsiaTheme="minorEastAsia"/>
              <w:noProof/>
              <w:lang w:eastAsia="nl-NL"/>
            </w:rPr>
          </w:pPr>
          <w:hyperlink w:anchor="_Toc299913142" w:history="1">
            <w:r w:rsidRPr="00DB24A6">
              <w:rPr>
                <w:rStyle w:val="Hyperlink"/>
                <w:noProof/>
              </w:rPr>
              <w:t>Hoofdstuk 1 – Inleiding</w:t>
            </w:r>
            <w:r>
              <w:rPr>
                <w:noProof/>
                <w:webHidden/>
              </w:rPr>
              <w:tab/>
            </w:r>
            <w:r>
              <w:rPr>
                <w:noProof/>
                <w:webHidden/>
              </w:rPr>
              <w:fldChar w:fldCharType="begin"/>
            </w:r>
            <w:r>
              <w:rPr>
                <w:noProof/>
                <w:webHidden/>
              </w:rPr>
              <w:instrText xml:space="preserve"> PAGEREF _Toc299913142 \h </w:instrText>
            </w:r>
            <w:r>
              <w:rPr>
                <w:noProof/>
                <w:webHidden/>
              </w:rPr>
            </w:r>
            <w:r>
              <w:rPr>
                <w:noProof/>
                <w:webHidden/>
              </w:rPr>
              <w:fldChar w:fldCharType="separate"/>
            </w:r>
            <w:r>
              <w:rPr>
                <w:noProof/>
                <w:webHidden/>
              </w:rPr>
              <w:t>6</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43" w:history="1">
            <w:r w:rsidRPr="00DB24A6">
              <w:rPr>
                <w:rStyle w:val="Hyperlink"/>
                <w:noProof/>
              </w:rPr>
              <w:t>1.1 Inleiding</w:t>
            </w:r>
            <w:r>
              <w:rPr>
                <w:noProof/>
                <w:webHidden/>
              </w:rPr>
              <w:tab/>
            </w:r>
            <w:r>
              <w:rPr>
                <w:noProof/>
                <w:webHidden/>
              </w:rPr>
              <w:fldChar w:fldCharType="begin"/>
            </w:r>
            <w:r>
              <w:rPr>
                <w:noProof/>
                <w:webHidden/>
              </w:rPr>
              <w:instrText xml:space="preserve"> PAGEREF _Toc299913143 \h </w:instrText>
            </w:r>
            <w:r>
              <w:rPr>
                <w:noProof/>
                <w:webHidden/>
              </w:rPr>
            </w:r>
            <w:r>
              <w:rPr>
                <w:noProof/>
                <w:webHidden/>
              </w:rPr>
              <w:fldChar w:fldCharType="separate"/>
            </w:r>
            <w:r>
              <w:rPr>
                <w:noProof/>
                <w:webHidden/>
              </w:rPr>
              <w:t>6</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44" w:history="1">
            <w:r w:rsidRPr="00DB24A6">
              <w:rPr>
                <w:rStyle w:val="Hyperlink"/>
                <w:noProof/>
              </w:rPr>
              <w:t>1.2 Onderwerp</w:t>
            </w:r>
            <w:r>
              <w:rPr>
                <w:noProof/>
                <w:webHidden/>
              </w:rPr>
              <w:tab/>
            </w:r>
            <w:r>
              <w:rPr>
                <w:noProof/>
                <w:webHidden/>
              </w:rPr>
              <w:fldChar w:fldCharType="begin"/>
            </w:r>
            <w:r>
              <w:rPr>
                <w:noProof/>
                <w:webHidden/>
              </w:rPr>
              <w:instrText xml:space="preserve"> PAGEREF _Toc299913144 \h </w:instrText>
            </w:r>
            <w:r>
              <w:rPr>
                <w:noProof/>
                <w:webHidden/>
              </w:rPr>
            </w:r>
            <w:r>
              <w:rPr>
                <w:noProof/>
                <w:webHidden/>
              </w:rPr>
              <w:fldChar w:fldCharType="separate"/>
            </w:r>
            <w:r>
              <w:rPr>
                <w:noProof/>
                <w:webHidden/>
              </w:rPr>
              <w:t>6</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45" w:history="1">
            <w:r w:rsidRPr="00DB24A6">
              <w:rPr>
                <w:rStyle w:val="Hyperlink"/>
                <w:noProof/>
              </w:rPr>
              <w:t>1.3 Probleemstelling en deelvragen</w:t>
            </w:r>
            <w:r>
              <w:rPr>
                <w:noProof/>
                <w:webHidden/>
              </w:rPr>
              <w:tab/>
            </w:r>
            <w:r>
              <w:rPr>
                <w:noProof/>
                <w:webHidden/>
              </w:rPr>
              <w:fldChar w:fldCharType="begin"/>
            </w:r>
            <w:r>
              <w:rPr>
                <w:noProof/>
                <w:webHidden/>
              </w:rPr>
              <w:instrText xml:space="preserve"> PAGEREF _Toc299913145 \h </w:instrText>
            </w:r>
            <w:r>
              <w:rPr>
                <w:noProof/>
                <w:webHidden/>
              </w:rPr>
            </w:r>
            <w:r>
              <w:rPr>
                <w:noProof/>
                <w:webHidden/>
              </w:rPr>
              <w:fldChar w:fldCharType="separate"/>
            </w:r>
            <w:r>
              <w:rPr>
                <w:noProof/>
                <w:webHidden/>
              </w:rPr>
              <w:t>7</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46" w:history="1">
            <w:r w:rsidRPr="00DB24A6">
              <w:rPr>
                <w:rStyle w:val="Hyperlink"/>
                <w:noProof/>
              </w:rPr>
              <w:t>1.4 Structuur scriptie</w:t>
            </w:r>
            <w:r>
              <w:rPr>
                <w:noProof/>
                <w:webHidden/>
              </w:rPr>
              <w:tab/>
            </w:r>
            <w:r>
              <w:rPr>
                <w:noProof/>
                <w:webHidden/>
              </w:rPr>
              <w:fldChar w:fldCharType="begin"/>
            </w:r>
            <w:r>
              <w:rPr>
                <w:noProof/>
                <w:webHidden/>
              </w:rPr>
              <w:instrText xml:space="preserve"> PAGEREF _Toc299913146 \h </w:instrText>
            </w:r>
            <w:r>
              <w:rPr>
                <w:noProof/>
                <w:webHidden/>
              </w:rPr>
            </w:r>
            <w:r>
              <w:rPr>
                <w:noProof/>
                <w:webHidden/>
              </w:rPr>
              <w:fldChar w:fldCharType="separate"/>
            </w:r>
            <w:r>
              <w:rPr>
                <w:noProof/>
                <w:webHidden/>
              </w:rPr>
              <w:t>7</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47" w:history="1">
            <w:r w:rsidRPr="00DB24A6">
              <w:rPr>
                <w:rStyle w:val="Hyperlink"/>
                <w:noProof/>
              </w:rPr>
              <w:t>1.5 Methode van onderzoek</w:t>
            </w:r>
            <w:r>
              <w:rPr>
                <w:noProof/>
                <w:webHidden/>
              </w:rPr>
              <w:tab/>
            </w:r>
            <w:r>
              <w:rPr>
                <w:noProof/>
                <w:webHidden/>
              </w:rPr>
              <w:fldChar w:fldCharType="begin"/>
            </w:r>
            <w:r>
              <w:rPr>
                <w:noProof/>
                <w:webHidden/>
              </w:rPr>
              <w:instrText xml:space="preserve"> PAGEREF _Toc299913147 \h </w:instrText>
            </w:r>
            <w:r>
              <w:rPr>
                <w:noProof/>
                <w:webHidden/>
              </w:rPr>
            </w:r>
            <w:r>
              <w:rPr>
                <w:noProof/>
                <w:webHidden/>
              </w:rPr>
              <w:fldChar w:fldCharType="separate"/>
            </w:r>
            <w:r>
              <w:rPr>
                <w:noProof/>
                <w:webHidden/>
              </w:rPr>
              <w:t>8</w:t>
            </w:r>
            <w:r>
              <w:rPr>
                <w:noProof/>
                <w:webHidden/>
              </w:rPr>
              <w:fldChar w:fldCharType="end"/>
            </w:r>
          </w:hyperlink>
        </w:p>
        <w:p w:rsidR="004126BC" w:rsidRDefault="004126BC">
          <w:pPr>
            <w:pStyle w:val="Inhopg2"/>
            <w:tabs>
              <w:tab w:val="right" w:leader="dot" w:pos="9062"/>
            </w:tabs>
            <w:rPr>
              <w:rFonts w:eastAsiaTheme="minorEastAsia"/>
              <w:noProof/>
              <w:lang w:eastAsia="nl-NL"/>
            </w:rPr>
          </w:pPr>
          <w:hyperlink w:anchor="_Toc299913148" w:history="1">
            <w:r w:rsidRPr="00DB24A6">
              <w:rPr>
                <w:rStyle w:val="Hyperlink"/>
                <w:noProof/>
              </w:rPr>
              <w:t>Hoofdstuk 2 – Het project IFRS SME</w:t>
            </w:r>
            <w:r>
              <w:rPr>
                <w:noProof/>
                <w:webHidden/>
              </w:rPr>
              <w:tab/>
            </w:r>
            <w:r>
              <w:rPr>
                <w:noProof/>
                <w:webHidden/>
              </w:rPr>
              <w:fldChar w:fldCharType="begin"/>
            </w:r>
            <w:r>
              <w:rPr>
                <w:noProof/>
                <w:webHidden/>
              </w:rPr>
              <w:instrText xml:space="preserve"> PAGEREF _Toc299913148 \h </w:instrText>
            </w:r>
            <w:r>
              <w:rPr>
                <w:noProof/>
                <w:webHidden/>
              </w:rPr>
            </w:r>
            <w:r>
              <w:rPr>
                <w:noProof/>
                <w:webHidden/>
              </w:rPr>
              <w:fldChar w:fldCharType="separate"/>
            </w:r>
            <w:r>
              <w:rPr>
                <w:noProof/>
                <w:webHidden/>
              </w:rPr>
              <w:t>9</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49" w:history="1">
            <w:r w:rsidRPr="00DB24A6">
              <w:rPr>
                <w:rStyle w:val="Hyperlink"/>
                <w:noProof/>
              </w:rPr>
              <w:t>2.1 Inleiding</w:t>
            </w:r>
            <w:r>
              <w:rPr>
                <w:noProof/>
                <w:webHidden/>
              </w:rPr>
              <w:tab/>
            </w:r>
            <w:r>
              <w:rPr>
                <w:noProof/>
                <w:webHidden/>
              </w:rPr>
              <w:fldChar w:fldCharType="begin"/>
            </w:r>
            <w:r>
              <w:rPr>
                <w:noProof/>
                <w:webHidden/>
              </w:rPr>
              <w:instrText xml:space="preserve"> PAGEREF _Toc299913149 \h </w:instrText>
            </w:r>
            <w:r>
              <w:rPr>
                <w:noProof/>
                <w:webHidden/>
              </w:rPr>
            </w:r>
            <w:r>
              <w:rPr>
                <w:noProof/>
                <w:webHidden/>
              </w:rPr>
              <w:fldChar w:fldCharType="separate"/>
            </w:r>
            <w:r>
              <w:rPr>
                <w:noProof/>
                <w:webHidden/>
              </w:rPr>
              <w:t>9</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50" w:history="1">
            <w:r w:rsidRPr="00DB24A6">
              <w:rPr>
                <w:rStyle w:val="Hyperlink"/>
                <w:noProof/>
              </w:rPr>
              <w:t>2.2 Organisatie</w:t>
            </w:r>
            <w:r>
              <w:rPr>
                <w:noProof/>
                <w:webHidden/>
              </w:rPr>
              <w:tab/>
            </w:r>
            <w:r>
              <w:rPr>
                <w:noProof/>
                <w:webHidden/>
              </w:rPr>
              <w:fldChar w:fldCharType="begin"/>
            </w:r>
            <w:r>
              <w:rPr>
                <w:noProof/>
                <w:webHidden/>
              </w:rPr>
              <w:instrText xml:space="preserve"> PAGEREF _Toc299913150 \h </w:instrText>
            </w:r>
            <w:r>
              <w:rPr>
                <w:noProof/>
                <w:webHidden/>
              </w:rPr>
            </w:r>
            <w:r>
              <w:rPr>
                <w:noProof/>
                <w:webHidden/>
              </w:rPr>
              <w:fldChar w:fldCharType="separate"/>
            </w:r>
            <w:r>
              <w:rPr>
                <w:noProof/>
                <w:webHidden/>
              </w:rPr>
              <w:t>9</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51" w:history="1">
            <w:r w:rsidRPr="00DB24A6">
              <w:rPr>
                <w:rStyle w:val="Hyperlink"/>
                <w:noProof/>
              </w:rPr>
              <w:t>2.3 Inhoud IFRS SME-standaard</w:t>
            </w:r>
            <w:r>
              <w:rPr>
                <w:noProof/>
                <w:webHidden/>
              </w:rPr>
              <w:tab/>
            </w:r>
            <w:r>
              <w:rPr>
                <w:noProof/>
                <w:webHidden/>
              </w:rPr>
              <w:fldChar w:fldCharType="begin"/>
            </w:r>
            <w:r>
              <w:rPr>
                <w:noProof/>
                <w:webHidden/>
              </w:rPr>
              <w:instrText xml:space="preserve"> PAGEREF _Toc299913151 \h </w:instrText>
            </w:r>
            <w:r>
              <w:rPr>
                <w:noProof/>
                <w:webHidden/>
              </w:rPr>
            </w:r>
            <w:r>
              <w:rPr>
                <w:noProof/>
                <w:webHidden/>
              </w:rPr>
              <w:fldChar w:fldCharType="separate"/>
            </w:r>
            <w:r>
              <w:rPr>
                <w:noProof/>
                <w:webHidden/>
              </w:rPr>
              <w:t>11</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52" w:history="1">
            <w:r w:rsidRPr="00DB24A6">
              <w:rPr>
                <w:rStyle w:val="Hyperlink"/>
                <w:noProof/>
              </w:rPr>
              <w:t>2.4 Doelgroep</w:t>
            </w:r>
            <w:r>
              <w:rPr>
                <w:noProof/>
                <w:webHidden/>
              </w:rPr>
              <w:tab/>
            </w:r>
            <w:r>
              <w:rPr>
                <w:noProof/>
                <w:webHidden/>
              </w:rPr>
              <w:fldChar w:fldCharType="begin"/>
            </w:r>
            <w:r>
              <w:rPr>
                <w:noProof/>
                <w:webHidden/>
              </w:rPr>
              <w:instrText xml:space="preserve"> PAGEREF _Toc299913152 \h </w:instrText>
            </w:r>
            <w:r>
              <w:rPr>
                <w:noProof/>
                <w:webHidden/>
              </w:rPr>
            </w:r>
            <w:r>
              <w:rPr>
                <w:noProof/>
                <w:webHidden/>
              </w:rPr>
              <w:fldChar w:fldCharType="separate"/>
            </w:r>
            <w:r>
              <w:rPr>
                <w:noProof/>
                <w:webHidden/>
              </w:rPr>
              <w:t>11</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53" w:history="1">
            <w:r w:rsidRPr="00DB24A6">
              <w:rPr>
                <w:rStyle w:val="Hyperlink"/>
                <w:noProof/>
              </w:rPr>
              <w:t>2.5 Status IFRS SME</w:t>
            </w:r>
            <w:r>
              <w:rPr>
                <w:noProof/>
                <w:webHidden/>
              </w:rPr>
              <w:tab/>
            </w:r>
            <w:r>
              <w:rPr>
                <w:noProof/>
                <w:webHidden/>
              </w:rPr>
              <w:fldChar w:fldCharType="begin"/>
            </w:r>
            <w:r>
              <w:rPr>
                <w:noProof/>
                <w:webHidden/>
              </w:rPr>
              <w:instrText xml:space="preserve"> PAGEREF _Toc299913153 \h </w:instrText>
            </w:r>
            <w:r>
              <w:rPr>
                <w:noProof/>
                <w:webHidden/>
              </w:rPr>
            </w:r>
            <w:r>
              <w:rPr>
                <w:noProof/>
                <w:webHidden/>
              </w:rPr>
              <w:fldChar w:fldCharType="separate"/>
            </w:r>
            <w:r>
              <w:rPr>
                <w:noProof/>
                <w:webHidden/>
              </w:rPr>
              <w:t>14</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54" w:history="1">
            <w:r w:rsidRPr="00DB24A6">
              <w:rPr>
                <w:rStyle w:val="Hyperlink"/>
                <w:noProof/>
              </w:rPr>
              <w:t>2.6 Verwachtingen over draagvlak</w:t>
            </w:r>
            <w:r>
              <w:rPr>
                <w:noProof/>
                <w:webHidden/>
              </w:rPr>
              <w:tab/>
            </w:r>
            <w:r>
              <w:rPr>
                <w:noProof/>
                <w:webHidden/>
              </w:rPr>
              <w:fldChar w:fldCharType="begin"/>
            </w:r>
            <w:r>
              <w:rPr>
                <w:noProof/>
                <w:webHidden/>
              </w:rPr>
              <w:instrText xml:space="preserve"> PAGEREF _Toc299913154 \h </w:instrText>
            </w:r>
            <w:r>
              <w:rPr>
                <w:noProof/>
                <w:webHidden/>
              </w:rPr>
            </w:r>
            <w:r>
              <w:rPr>
                <w:noProof/>
                <w:webHidden/>
              </w:rPr>
              <w:fldChar w:fldCharType="separate"/>
            </w:r>
            <w:r>
              <w:rPr>
                <w:noProof/>
                <w:webHidden/>
              </w:rPr>
              <w:t>15</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55" w:history="1">
            <w:r w:rsidRPr="00DB24A6">
              <w:rPr>
                <w:rStyle w:val="Hyperlink"/>
                <w:noProof/>
              </w:rPr>
              <w:t>2.7 Conclusie</w:t>
            </w:r>
            <w:r>
              <w:rPr>
                <w:noProof/>
                <w:webHidden/>
              </w:rPr>
              <w:tab/>
            </w:r>
            <w:r>
              <w:rPr>
                <w:noProof/>
                <w:webHidden/>
              </w:rPr>
              <w:fldChar w:fldCharType="begin"/>
            </w:r>
            <w:r>
              <w:rPr>
                <w:noProof/>
                <w:webHidden/>
              </w:rPr>
              <w:instrText xml:space="preserve"> PAGEREF _Toc299913155 \h </w:instrText>
            </w:r>
            <w:r>
              <w:rPr>
                <w:noProof/>
                <w:webHidden/>
              </w:rPr>
            </w:r>
            <w:r>
              <w:rPr>
                <w:noProof/>
                <w:webHidden/>
              </w:rPr>
              <w:fldChar w:fldCharType="separate"/>
            </w:r>
            <w:r>
              <w:rPr>
                <w:noProof/>
                <w:webHidden/>
              </w:rPr>
              <w:t>16</w:t>
            </w:r>
            <w:r>
              <w:rPr>
                <w:noProof/>
                <w:webHidden/>
              </w:rPr>
              <w:fldChar w:fldCharType="end"/>
            </w:r>
          </w:hyperlink>
        </w:p>
        <w:p w:rsidR="004126BC" w:rsidRDefault="004126BC">
          <w:pPr>
            <w:pStyle w:val="Inhopg2"/>
            <w:tabs>
              <w:tab w:val="right" w:leader="dot" w:pos="9062"/>
            </w:tabs>
            <w:rPr>
              <w:rFonts w:eastAsiaTheme="minorEastAsia"/>
              <w:noProof/>
              <w:lang w:eastAsia="nl-NL"/>
            </w:rPr>
          </w:pPr>
          <w:hyperlink w:anchor="_Toc299913156" w:history="1">
            <w:r w:rsidRPr="00DB24A6">
              <w:rPr>
                <w:rStyle w:val="Hyperlink"/>
                <w:noProof/>
              </w:rPr>
              <w:t>Hoofdstuk 3 – Totstandkoming IFRS SME standaard</w:t>
            </w:r>
            <w:r>
              <w:rPr>
                <w:noProof/>
                <w:webHidden/>
              </w:rPr>
              <w:tab/>
            </w:r>
            <w:r>
              <w:rPr>
                <w:noProof/>
                <w:webHidden/>
              </w:rPr>
              <w:fldChar w:fldCharType="begin"/>
            </w:r>
            <w:r>
              <w:rPr>
                <w:noProof/>
                <w:webHidden/>
              </w:rPr>
              <w:instrText xml:space="preserve"> PAGEREF _Toc299913156 \h </w:instrText>
            </w:r>
            <w:r>
              <w:rPr>
                <w:noProof/>
                <w:webHidden/>
              </w:rPr>
            </w:r>
            <w:r>
              <w:rPr>
                <w:noProof/>
                <w:webHidden/>
              </w:rPr>
              <w:fldChar w:fldCharType="separate"/>
            </w:r>
            <w:r>
              <w:rPr>
                <w:noProof/>
                <w:webHidden/>
              </w:rPr>
              <w:t>18</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57" w:history="1">
            <w:r w:rsidRPr="00DB24A6">
              <w:rPr>
                <w:rStyle w:val="Hyperlink"/>
                <w:noProof/>
              </w:rPr>
              <w:t>3.1 Inleiding</w:t>
            </w:r>
            <w:r>
              <w:rPr>
                <w:noProof/>
                <w:webHidden/>
              </w:rPr>
              <w:tab/>
            </w:r>
            <w:r>
              <w:rPr>
                <w:noProof/>
                <w:webHidden/>
              </w:rPr>
              <w:fldChar w:fldCharType="begin"/>
            </w:r>
            <w:r>
              <w:rPr>
                <w:noProof/>
                <w:webHidden/>
              </w:rPr>
              <w:instrText xml:space="preserve"> PAGEREF _Toc299913157 \h </w:instrText>
            </w:r>
            <w:r>
              <w:rPr>
                <w:noProof/>
                <w:webHidden/>
              </w:rPr>
            </w:r>
            <w:r>
              <w:rPr>
                <w:noProof/>
                <w:webHidden/>
              </w:rPr>
              <w:fldChar w:fldCharType="separate"/>
            </w:r>
            <w:r>
              <w:rPr>
                <w:noProof/>
                <w:webHidden/>
              </w:rPr>
              <w:t>18</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58" w:history="1">
            <w:r w:rsidRPr="00DB24A6">
              <w:rPr>
                <w:rStyle w:val="Hyperlink"/>
                <w:noProof/>
              </w:rPr>
              <w:t>3.2 Ontwikkelingsproces</w:t>
            </w:r>
            <w:r>
              <w:rPr>
                <w:noProof/>
                <w:webHidden/>
              </w:rPr>
              <w:tab/>
            </w:r>
            <w:r>
              <w:rPr>
                <w:noProof/>
                <w:webHidden/>
              </w:rPr>
              <w:fldChar w:fldCharType="begin"/>
            </w:r>
            <w:r>
              <w:rPr>
                <w:noProof/>
                <w:webHidden/>
              </w:rPr>
              <w:instrText xml:space="preserve"> PAGEREF _Toc299913158 \h </w:instrText>
            </w:r>
            <w:r>
              <w:rPr>
                <w:noProof/>
                <w:webHidden/>
              </w:rPr>
            </w:r>
            <w:r>
              <w:rPr>
                <w:noProof/>
                <w:webHidden/>
              </w:rPr>
              <w:fldChar w:fldCharType="separate"/>
            </w:r>
            <w:r>
              <w:rPr>
                <w:noProof/>
                <w:webHidden/>
              </w:rPr>
              <w:t>18</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59" w:history="1">
            <w:r w:rsidRPr="00DB24A6">
              <w:rPr>
                <w:rStyle w:val="Hyperlink"/>
                <w:noProof/>
              </w:rPr>
              <w:t>3.3 Ontwikkeling IFRS SME</w:t>
            </w:r>
            <w:r>
              <w:rPr>
                <w:noProof/>
                <w:webHidden/>
              </w:rPr>
              <w:tab/>
            </w:r>
            <w:r>
              <w:rPr>
                <w:noProof/>
                <w:webHidden/>
              </w:rPr>
              <w:fldChar w:fldCharType="begin"/>
            </w:r>
            <w:r>
              <w:rPr>
                <w:noProof/>
                <w:webHidden/>
              </w:rPr>
              <w:instrText xml:space="preserve"> PAGEREF _Toc299913159 \h </w:instrText>
            </w:r>
            <w:r>
              <w:rPr>
                <w:noProof/>
                <w:webHidden/>
              </w:rPr>
            </w:r>
            <w:r>
              <w:rPr>
                <w:noProof/>
                <w:webHidden/>
              </w:rPr>
              <w:fldChar w:fldCharType="separate"/>
            </w:r>
            <w:r>
              <w:rPr>
                <w:noProof/>
                <w:webHidden/>
              </w:rPr>
              <w:t>21</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60" w:history="1">
            <w:r w:rsidRPr="00DB24A6">
              <w:rPr>
                <w:rStyle w:val="Hyperlink"/>
                <w:noProof/>
              </w:rPr>
              <w:t>3.4 Conclusie</w:t>
            </w:r>
            <w:r>
              <w:rPr>
                <w:noProof/>
                <w:webHidden/>
              </w:rPr>
              <w:tab/>
            </w:r>
            <w:r>
              <w:rPr>
                <w:noProof/>
                <w:webHidden/>
              </w:rPr>
              <w:fldChar w:fldCharType="begin"/>
            </w:r>
            <w:r>
              <w:rPr>
                <w:noProof/>
                <w:webHidden/>
              </w:rPr>
              <w:instrText xml:space="preserve"> PAGEREF _Toc299913160 \h </w:instrText>
            </w:r>
            <w:r>
              <w:rPr>
                <w:noProof/>
                <w:webHidden/>
              </w:rPr>
            </w:r>
            <w:r>
              <w:rPr>
                <w:noProof/>
                <w:webHidden/>
              </w:rPr>
              <w:fldChar w:fldCharType="separate"/>
            </w:r>
            <w:r>
              <w:rPr>
                <w:noProof/>
                <w:webHidden/>
              </w:rPr>
              <w:t>25</w:t>
            </w:r>
            <w:r>
              <w:rPr>
                <w:noProof/>
                <w:webHidden/>
              </w:rPr>
              <w:fldChar w:fldCharType="end"/>
            </w:r>
          </w:hyperlink>
        </w:p>
        <w:p w:rsidR="004126BC" w:rsidRDefault="004126BC">
          <w:pPr>
            <w:pStyle w:val="Inhopg2"/>
            <w:tabs>
              <w:tab w:val="right" w:leader="dot" w:pos="9062"/>
            </w:tabs>
            <w:rPr>
              <w:rFonts w:eastAsiaTheme="minorEastAsia"/>
              <w:noProof/>
              <w:lang w:eastAsia="nl-NL"/>
            </w:rPr>
          </w:pPr>
          <w:hyperlink w:anchor="_Toc299913161" w:history="1">
            <w:r w:rsidRPr="00DB24A6">
              <w:rPr>
                <w:rStyle w:val="Hyperlink"/>
                <w:noProof/>
              </w:rPr>
              <w:t>Hoofdstuk 4 – Vergelijking IFRS SME met full IFRS en RJ</w:t>
            </w:r>
            <w:r>
              <w:rPr>
                <w:noProof/>
                <w:webHidden/>
              </w:rPr>
              <w:tab/>
            </w:r>
            <w:r>
              <w:rPr>
                <w:noProof/>
                <w:webHidden/>
              </w:rPr>
              <w:fldChar w:fldCharType="begin"/>
            </w:r>
            <w:r>
              <w:rPr>
                <w:noProof/>
                <w:webHidden/>
              </w:rPr>
              <w:instrText xml:space="preserve"> PAGEREF _Toc299913161 \h </w:instrText>
            </w:r>
            <w:r>
              <w:rPr>
                <w:noProof/>
                <w:webHidden/>
              </w:rPr>
            </w:r>
            <w:r>
              <w:rPr>
                <w:noProof/>
                <w:webHidden/>
              </w:rPr>
              <w:fldChar w:fldCharType="separate"/>
            </w:r>
            <w:r>
              <w:rPr>
                <w:noProof/>
                <w:webHidden/>
              </w:rPr>
              <w:t>27</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62" w:history="1">
            <w:r w:rsidRPr="00DB24A6">
              <w:rPr>
                <w:rStyle w:val="Hyperlink"/>
                <w:noProof/>
              </w:rPr>
              <w:t>4.1 Inleiding</w:t>
            </w:r>
            <w:r>
              <w:rPr>
                <w:noProof/>
                <w:webHidden/>
              </w:rPr>
              <w:tab/>
            </w:r>
            <w:r>
              <w:rPr>
                <w:noProof/>
                <w:webHidden/>
              </w:rPr>
              <w:fldChar w:fldCharType="begin"/>
            </w:r>
            <w:r>
              <w:rPr>
                <w:noProof/>
                <w:webHidden/>
              </w:rPr>
              <w:instrText xml:space="preserve"> PAGEREF _Toc299913162 \h </w:instrText>
            </w:r>
            <w:r>
              <w:rPr>
                <w:noProof/>
                <w:webHidden/>
              </w:rPr>
            </w:r>
            <w:r>
              <w:rPr>
                <w:noProof/>
                <w:webHidden/>
              </w:rPr>
              <w:fldChar w:fldCharType="separate"/>
            </w:r>
            <w:r>
              <w:rPr>
                <w:noProof/>
                <w:webHidden/>
              </w:rPr>
              <w:t>27</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63" w:history="1">
            <w:r w:rsidRPr="00DB24A6">
              <w:rPr>
                <w:rStyle w:val="Hyperlink"/>
                <w:noProof/>
              </w:rPr>
              <w:t>4.2 Reikwijdte van de categorieën regelgeving</w:t>
            </w:r>
            <w:r>
              <w:rPr>
                <w:noProof/>
                <w:webHidden/>
              </w:rPr>
              <w:tab/>
            </w:r>
            <w:r>
              <w:rPr>
                <w:noProof/>
                <w:webHidden/>
              </w:rPr>
              <w:fldChar w:fldCharType="begin"/>
            </w:r>
            <w:r>
              <w:rPr>
                <w:noProof/>
                <w:webHidden/>
              </w:rPr>
              <w:instrText xml:space="preserve"> PAGEREF _Toc299913163 \h </w:instrText>
            </w:r>
            <w:r>
              <w:rPr>
                <w:noProof/>
                <w:webHidden/>
              </w:rPr>
            </w:r>
            <w:r>
              <w:rPr>
                <w:noProof/>
                <w:webHidden/>
              </w:rPr>
              <w:fldChar w:fldCharType="separate"/>
            </w:r>
            <w:r>
              <w:rPr>
                <w:noProof/>
                <w:webHidden/>
              </w:rPr>
              <w:t>27</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64" w:history="1">
            <w:r w:rsidRPr="00DB24A6">
              <w:rPr>
                <w:rStyle w:val="Hyperlink"/>
                <w:noProof/>
              </w:rPr>
              <w:t>4.3 Vergelijking inhoudelijke bepalingen</w:t>
            </w:r>
            <w:r>
              <w:rPr>
                <w:noProof/>
                <w:webHidden/>
              </w:rPr>
              <w:tab/>
            </w:r>
            <w:r>
              <w:rPr>
                <w:noProof/>
                <w:webHidden/>
              </w:rPr>
              <w:fldChar w:fldCharType="begin"/>
            </w:r>
            <w:r>
              <w:rPr>
                <w:noProof/>
                <w:webHidden/>
              </w:rPr>
              <w:instrText xml:space="preserve"> PAGEREF _Toc299913164 \h </w:instrText>
            </w:r>
            <w:r>
              <w:rPr>
                <w:noProof/>
                <w:webHidden/>
              </w:rPr>
            </w:r>
            <w:r>
              <w:rPr>
                <w:noProof/>
                <w:webHidden/>
              </w:rPr>
              <w:fldChar w:fldCharType="separate"/>
            </w:r>
            <w:r>
              <w:rPr>
                <w:noProof/>
                <w:webHidden/>
              </w:rPr>
              <w:t>28</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65" w:history="1">
            <w:r w:rsidRPr="00DB24A6">
              <w:rPr>
                <w:rStyle w:val="Hyperlink"/>
                <w:noProof/>
              </w:rPr>
              <w:t>4.4 Conclusie</w:t>
            </w:r>
            <w:r>
              <w:rPr>
                <w:noProof/>
                <w:webHidden/>
              </w:rPr>
              <w:tab/>
            </w:r>
            <w:r>
              <w:rPr>
                <w:noProof/>
                <w:webHidden/>
              </w:rPr>
              <w:fldChar w:fldCharType="begin"/>
            </w:r>
            <w:r>
              <w:rPr>
                <w:noProof/>
                <w:webHidden/>
              </w:rPr>
              <w:instrText xml:space="preserve"> PAGEREF _Toc299913165 \h </w:instrText>
            </w:r>
            <w:r>
              <w:rPr>
                <w:noProof/>
                <w:webHidden/>
              </w:rPr>
            </w:r>
            <w:r>
              <w:rPr>
                <w:noProof/>
                <w:webHidden/>
              </w:rPr>
              <w:fldChar w:fldCharType="separate"/>
            </w:r>
            <w:r>
              <w:rPr>
                <w:noProof/>
                <w:webHidden/>
              </w:rPr>
              <w:t>40</w:t>
            </w:r>
            <w:r>
              <w:rPr>
                <w:noProof/>
                <w:webHidden/>
              </w:rPr>
              <w:fldChar w:fldCharType="end"/>
            </w:r>
          </w:hyperlink>
        </w:p>
        <w:p w:rsidR="004126BC" w:rsidRDefault="004126BC">
          <w:pPr>
            <w:pStyle w:val="Inhopg2"/>
            <w:tabs>
              <w:tab w:val="right" w:leader="dot" w:pos="9062"/>
            </w:tabs>
            <w:rPr>
              <w:rFonts w:eastAsiaTheme="minorEastAsia"/>
              <w:noProof/>
              <w:lang w:eastAsia="nl-NL"/>
            </w:rPr>
          </w:pPr>
          <w:hyperlink w:anchor="_Toc299913166" w:history="1">
            <w:r w:rsidRPr="00DB24A6">
              <w:rPr>
                <w:rStyle w:val="Hyperlink"/>
                <w:noProof/>
              </w:rPr>
              <w:t>Hoofdstuk 5 – Gevolgen van toepassing IFRS SME</w:t>
            </w:r>
            <w:r>
              <w:rPr>
                <w:noProof/>
                <w:webHidden/>
              </w:rPr>
              <w:tab/>
            </w:r>
            <w:r>
              <w:rPr>
                <w:noProof/>
                <w:webHidden/>
              </w:rPr>
              <w:fldChar w:fldCharType="begin"/>
            </w:r>
            <w:r>
              <w:rPr>
                <w:noProof/>
                <w:webHidden/>
              </w:rPr>
              <w:instrText xml:space="preserve"> PAGEREF _Toc299913166 \h </w:instrText>
            </w:r>
            <w:r>
              <w:rPr>
                <w:noProof/>
                <w:webHidden/>
              </w:rPr>
            </w:r>
            <w:r>
              <w:rPr>
                <w:noProof/>
                <w:webHidden/>
              </w:rPr>
              <w:fldChar w:fldCharType="separate"/>
            </w:r>
            <w:r>
              <w:rPr>
                <w:noProof/>
                <w:webHidden/>
              </w:rPr>
              <w:t>42</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67" w:history="1">
            <w:r w:rsidRPr="00DB24A6">
              <w:rPr>
                <w:rStyle w:val="Hyperlink"/>
                <w:noProof/>
              </w:rPr>
              <w:t>5.1 Inleiding</w:t>
            </w:r>
            <w:r>
              <w:rPr>
                <w:noProof/>
                <w:webHidden/>
              </w:rPr>
              <w:tab/>
            </w:r>
            <w:r>
              <w:rPr>
                <w:noProof/>
                <w:webHidden/>
              </w:rPr>
              <w:fldChar w:fldCharType="begin"/>
            </w:r>
            <w:r>
              <w:rPr>
                <w:noProof/>
                <w:webHidden/>
              </w:rPr>
              <w:instrText xml:space="preserve"> PAGEREF _Toc299913167 \h </w:instrText>
            </w:r>
            <w:r>
              <w:rPr>
                <w:noProof/>
                <w:webHidden/>
              </w:rPr>
            </w:r>
            <w:r>
              <w:rPr>
                <w:noProof/>
                <w:webHidden/>
              </w:rPr>
              <w:fldChar w:fldCharType="separate"/>
            </w:r>
            <w:r>
              <w:rPr>
                <w:noProof/>
                <w:webHidden/>
              </w:rPr>
              <w:t>42</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68" w:history="1">
            <w:r w:rsidRPr="00DB24A6">
              <w:rPr>
                <w:rStyle w:val="Hyperlink"/>
                <w:noProof/>
              </w:rPr>
              <w:t>5.2 Eerste toepassing IFRS SME</w:t>
            </w:r>
            <w:r>
              <w:rPr>
                <w:noProof/>
                <w:webHidden/>
              </w:rPr>
              <w:tab/>
            </w:r>
            <w:r>
              <w:rPr>
                <w:noProof/>
                <w:webHidden/>
              </w:rPr>
              <w:fldChar w:fldCharType="begin"/>
            </w:r>
            <w:r>
              <w:rPr>
                <w:noProof/>
                <w:webHidden/>
              </w:rPr>
              <w:instrText xml:space="preserve"> PAGEREF _Toc299913168 \h </w:instrText>
            </w:r>
            <w:r>
              <w:rPr>
                <w:noProof/>
                <w:webHidden/>
              </w:rPr>
            </w:r>
            <w:r>
              <w:rPr>
                <w:noProof/>
                <w:webHidden/>
              </w:rPr>
              <w:fldChar w:fldCharType="separate"/>
            </w:r>
            <w:r>
              <w:rPr>
                <w:noProof/>
                <w:webHidden/>
              </w:rPr>
              <w:t>43</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69" w:history="1">
            <w:r w:rsidRPr="00DB24A6">
              <w:rPr>
                <w:rStyle w:val="Hyperlink"/>
                <w:noProof/>
              </w:rPr>
              <w:t>5.3 Administratieve lasten</w:t>
            </w:r>
            <w:r>
              <w:rPr>
                <w:noProof/>
                <w:webHidden/>
              </w:rPr>
              <w:tab/>
            </w:r>
            <w:r>
              <w:rPr>
                <w:noProof/>
                <w:webHidden/>
              </w:rPr>
              <w:fldChar w:fldCharType="begin"/>
            </w:r>
            <w:r>
              <w:rPr>
                <w:noProof/>
                <w:webHidden/>
              </w:rPr>
              <w:instrText xml:space="preserve"> PAGEREF _Toc299913169 \h </w:instrText>
            </w:r>
            <w:r>
              <w:rPr>
                <w:noProof/>
                <w:webHidden/>
              </w:rPr>
            </w:r>
            <w:r>
              <w:rPr>
                <w:noProof/>
                <w:webHidden/>
              </w:rPr>
              <w:fldChar w:fldCharType="separate"/>
            </w:r>
            <w:r>
              <w:rPr>
                <w:noProof/>
                <w:webHidden/>
              </w:rPr>
              <w:t>44</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70" w:history="1">
            <w:r w:rsidRPr="00DB24A6">
              <w:rPr>
                <w:rStyle w:val="Hyperlink"/>
                <w:noProof/>
              </w:rPr>
              <w:t>5.4 Waardering op balans en resultaten</w:t>
            </w:r>
            <w:r>
              <w:rPr>
                <w:noProof/>
                <w:webHidden/>
              </w:rPr>
              <w:tab/>
            </w:r>
            <w:r>
              <w:rPr>
                <w:noProof/>
                <w:webHidden/>
              </w:rPr>
              <w:fldChar w:fldCharType="begin"/>
            </w:r>
            <w:r>
              <w:rPr>
                <w:noProof/>
                <w:webHidden/>
              </w:rPr>
              <w:instrText xml:space="preserve"> PAGEREF _Toc299913170 \h </w:instrText>
            </w:r>
            <w:r>
              <w:rPr>
                <w:noProof/>
                <w:webHidden/>
              </w:rPr>
            </w:r>
            <w:r>
              <w:rPr>
                <w:noProof/>
                <w:webHidden/>
              </w:rPr>
              <w:fldChar w:fldCharType="separate"/>
            </w:r>
            <w:r>
              <w:rPr>
                <w:noProof/>
                <w:webHidden/>
              </w:rPr>
              <w:t>45</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71" w:history="1">
            <w:r w:rsidRPr="00DB24A6">
              <w:rPr>
                <w:rStyle w:val="Hyperlink"/>
                <w:noProof/>
              </w:rPr>
              <w:t>5.5 Gevolgen voor solvabiliteit en financiering</w:t>
            </w:r>
            <w:r>
              <w:rPr>
                <w:noProof/>
                <w:webHidden/>
              </w:rPr>
              <w:tab/>
            </w:r>
            <w:r>
              <w:rPr>
                <w:noProof/>
                <w:webHidden/>
              </w:rPr>
              <w:fldChar w:fldCharType="begin"/>
            </w:r>
            <w:r>
              <w:rPr>
                <w:noProof/>
                <w:webHidden/>
              </w:rPr>
              <w:instrText xml:space="preserve"> PAGEREF _Toc299913171 \h </w:instrText>
            </w:r>
            <w:r>
              <w:rPr>
                <w:noProof/>
                <w:webHidden/>
              </w:rPr>
            </w:r>
            <w:r>
              <w:rPr>
                <w:noProof/>
                <w:webHidden/>
              </w:rPr>
              <w:fldChar w:fldCharType="separate"/>
            </w:r>
            <w:r>
              <w:rPr>
                <w:noProof/>
                <w:webHidden/>
              </w:rPr>
              <w:t>46</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72" w:history="1">
            <w:r w:rsidRPr="00DB24A6">
              <w:rPr>
                <w:rStyle w:val="Hyperlink"/>
                <w:noProof/>
              </w:rPr>
              <w:t>5.6 Vergelijkbaarheid en transparantie</w:t>
            </w:r>
            <w:r>
              <w:rPr>
                <w:noProof/>
                <w:webHidden/>
              </w:rPr>
              <w:tab/>
            </w:r>
            <w:r>
              <w:rPr>
                <w:noProof/>
                <w:webHidden/>
              </w:rPr>
              <w:fldChar w:fldCharType="begin"/>
            </w:r>
            <w:r>
              <w:rPr>
                <w:noProof/>
                <w:webHidden/>
              </w:rPr>
              <w:instrText xml:space="preserve"> PAGEREF _Toc299913172 \h </w:instrText>
            </w:r>
            <w:r>
              <w:rPr>
                <w:noProof/>
                <w:webHidden/>
              </w:rPr>
            </w:r>
            <w:r>
              <w:rPr>
                <w:noProof/>
                <w:webHidden/>
              </w:rPr>
              <w:fldChar w:fldCharType="separate"/>
            </w:r>
            <w:r>
              <w:rPr>
                <w:noProof/>
                <w:webHidden/>
              </w:rPr>
              <w:t>48</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73" w:history="1">
            <w:r w:rsidRPr="00DB24A6">
              <w:rPr>
                <w:rStyle w:val="Hyperlink"/>
                <w:noProof/>
              </w:rPr>
              <w:t>5.7 Conclusie</w:t>
            </w:r>
            <w:r>
              <w:rPr>
                <w:noProof/>
                <w:webHidden/>
              </w:rPr>
              <w:tab/>
            </w:r>
            <w:r>
              <w:rPr>
                <w:noProof/>
                <w:webHidden/>
              </w:rPr>
              <w:fldChar w:fldCharType="begin"/>
            </w:r>
            <w:r>
              <w:rPr>
                <w:noProof/>
                <w:webHidden/>
              </w:rPr>
              <w:instrText xml:space="preserve"> PAGEREF _Toc299913173 \h </w:instrText>
            </w:r>
            <w:r>
              <w:rPr>
                <w:noProof/>
                <w:webHidden/>
              </w:rPr>
            </w:r>
            <w:r>
              <w:rPr>
                <w:noProof/>
                <w:webHidden/>
              </w:rPr>
              <w:fldChar w:fldCharType="separate"/>
            </w:r>
            <w:r>
              <w:rPr>
                <w:noProof/>
                <w:webHidden/>
              </w:rPr>
              <w:t>50</w:t>
            </w:r>
            <w:r>
              <w:rPr>
                <w:noProof/>
                <w:webHidden/>
              </w:rPr>
              <w:fldChar w:fldCharType="end"/>
            </w:r>
          </w:hyperlink>
        </w:p>
        <w:p w:rsidR="004126BC" w:rsidRDefault="004126BC">
          <w:pPr>
            <w:pStyle w:val="Inhopg2"/>
            <w:tabs>
              <w:tab w:val="right" w:leader="dot" w:pos="9062"/>
            </w:tabs>
            <w:rPr>
              <w:rFonts w:eastAsiaTheme="minorEastAsia"/>
              <w:noProof/>
              <w:lang w:eastAsia="nl-NL"/>
            </w:rPr>
          </w:pPr>
          <w:hyperlink w:anchor="_Toc299913174" w:history="1">
            <w:r w:rsidRPr="00DB24A6">
              <w:rPr>
                <w:rStyle w:val="Hyperlink"/>
                <w:noProof/>
              </w:rPr>
              <w:t>Hoofdstuk 6 – Visie praktijk</w:t>
            </w:r>
            <w:r>
              <w:rPr>
                <w:noProof/>
                <w:webHidden/>
              </w:rPr>
              <w:tab/>
            </w:r>
            <w:r>
              <w:rPr>
                <w:noProof/>
                <w:webHidden/>
              </w:rPr>
              <w:fldChar w:fldCharType="begin"/>
            </w:r>
            <w:r>
              <w:rPr>
                <w:noProof/>
                <w:webHidden/>
              </w:rPr>
              <w:instrText xml:space="preserve"> PAGEREF _Toc299913174 \h </w:instrText>
            </w:r>
            <w:r>
              <w:rPr>
                <w:noProof/>
                <w:webHidden/>
              </w:rPr>
            </w:r>
            <w:r>
              <w:rPr>
                <w:noProof/>
                <w:webHidden/>
              </w:rPr>
              <w:fldChar w:fldCharType="separate"/>
            </w:r>
            <w:r>
              <w:rPr>
                <w:noProof/>
                <w:webHidden/>
              </w:rPr>
              <w:t>52</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75" w:history="1">
            <w:r w:rsidRPr="00DB24A6">
              <w:rPr>
                <w:rStyle w:val="Hyperlink"/>
                <w:noProof/>
              </w:rPr>
              <w:t>6.1 Inleiding</w:t>
            </w:r>
            <w:r>
              <w:rPr>
                <w:noProof/>
                <w:webHidden/>
              </w:rPr>
              <w:tab/>
            </w:r>
            <w:r>
              <w:rPr>
                <w:noProof/>
                <w:webHidden/>
              </w:rPr>
              <w:fldChar w:fldCharType="begin"/>
            </w:r>
            <w:r>
              <w:rPr>
                <w:noProof/>
                <w:webHidden/>
              </w:rPr>
              <w:instrText xml:space="preserve"> PAGEREF _Toc299913175 \h </w:instrText>
            </w:r>
            <w:r>
              <w:rPr>
                <w:noProof/>
                <w:webHidden/>
              </w:rPr>
            </w:r>
            <w:r>
              <w:rPr>
                <w:noProof/>
                <w:webHidden/>
              </w:rPr>
              <w:fldChar w:fldCharType="separate"/>
            </w:r>
            <w:r>
              <w:rPr>
                <w:noProof/>
                <w:webHidden/>
              </w:rPr>
              <w:t>52</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76" w:history="1">
            <w:r w:rsidRPr="00DB24A6">
              <w:rPr>
                <w:rStyle w:val="Hyperlink"/>
                <w:noProof/>
              </w:rPr>
              <w:t>6.2 Accountantskantoren</w:t>
            </w:r>
            <w:r>
              <w:rPr>
                <w:noProof/>
                <w:webHidden/>
              </w:rPr>
              <w:tab/>
            </w:r>
            <w:r>
              <w:rPr>
                <w:noProof/>
                <w:webHidden/>
              </w:rPr>
              <w:fldChar w:fldCharType="begin"/>
            </w:r>
            <w:r>
              <w:rPr>
                <w:noProof/>
                <w:webHidden/>
              </w:rPr>
              <w:instrText xml:space="preserve"> PAGEREF _Toc299913176 \h </w:instrText>
            </w:r>
            <w:r>
              <w:rPr>
                <w:noProof/>
                <w:webHidden/>
              </w:rPr>
            </w:r>
            <w:r>
              <w:rPr>
                <w:noProof/>
                <w:webHidden/>
              </w:rPr>
              <w:fldChar w:fldCharType="separate"/>
            </w:r>
            <w:r>
              <w:rPr>
                <w:noProof/>
                <w:webHidden/>
              </w:rPr>
              <w:t>52</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77" w:history="1">
            <w:r w:rsidRPr="00DB24A6">
              <w:rPr>
                <w:rStyle w:val="Hyperlink"/>
                <w:noProof/>
              </w:rPr>
              <w:t>6.3 Europese Commissie</w:t>
            </w:r>
            <w:r>
              <w:rPr>
                <w:noProof/>
                <w:webHidden/>
              </w:rPr>
              <w:tab/>
            </w:r>
            <w:r>
              <w:rPr>
                <w:noProof/>
                <w:webHidden/>
              </w:rPr>
              <w:fldChar w:fldCharType="begin"/>
            </w:r>
            <w:r>
              <w:rPr>
                <w:noProof/>
                <w:webHidden/>
              </w:rPr>
              <w:instrText xml:space="preserve"> PAGEREF _Toc299913177 \h </w:instrText>
            </w:r>
            <w:r>
              <w:rPr>
                <w:noProof/>
                <w:webHidden/>
              </w:rPr>
            </w:r>
            <w:r>
              <w:rPr>
                <w:noProof/>
                <w:webHidden/>
              </w:rPr>
              <w:fldChar w:fldCharType="separate"/>
            </w:r>
            <w:r>
              <w:rPr>
                <w:noProof/>
                <w:webHidden/>
              </w:rPr>
              <w:t>54</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78" w:history="1">
            <w:r w:rsidRPr="00DB24A6">
              <w:rPr>
                <w:rStyle w:val="Hyperlink"/>
                <w:noProof/>
              </w:rPr>
              <w:t>6.4 Opinieschrijvers</w:t>
            </w:r>
            <w:r>
              <w:rPr>
                <w:noProof/>
                <w:webHidden/>
              </w:rPr>
              <w:tab/>
            </w:r>
            <w:r>
              <w:rPr>
                <w:noProof/>
                <w:webHidden/>
              </w:rPr>
              <w:fldChar w:fldCharType="begin"/>
            </w:r>
            <w:r>
              <w:rPr>
                <w:noProof/>
                <w:webHidden/>
              </w:rPr>
              <w:instrText xml:space="preserve"> PAGEREF _Toc299913178 \h </w:instrText>
            </w:r>
            <w:r>
              <w:rPr>
                <w:noProof/>
                <w:webHidden/>
              </w:rPr>
            </w:r>
            <w:r>
              <w:rPr>
                <w:noProof/>
                <w:webHidden/>
              </w:rPr>
              <w:fldChar w:fldCharType="separate"/>
            </w:r>
            <w:r>
              <w:rPr>
                <w:noProof/>
                <w:webHidden/>
              </w:rPr>
              <w:t>56</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79" w:history="1">
            <w:r w:rsidRPr="00DB24A6">
              <w:rPr>
                <w:rStyle w:val="Hyperlink"/>
                <w:noProof/>
              </w:rPr>
              <w:t>6.5 Overige belanghebbenden</w:t>
            </w:r>
            <w:r>
              <w:rPr>
                <w:noProof/>
                <w:webHidden/>
              </w:rPr>
              <w:tab/>
            </w:r>
            <w:r>
              <w:rPr>
                <w:noProof/>
                <w:webHidden/>
              </w:rPr>
              <w:fldChar w:fldCharType="begin"/>
            </w:r>
            <w:r>
              <w:rPr>
                <w:noProof/>
                <w:webHidden/>
              </w:rPr>
              <w:instrText xml:space="preserve"> PAGEREF _Toc299913179 \h </w:instrText>
            </w:r>
            <w:r>
              <w:rPr>
                <w:noProof/>
                <w:webHidden/>
              </w:rPr>
            </w:r>
            <w:r>
              <w:rPr>
                <w:noProof/>
                <w:webHidden/>
              </w:rPr>
              <w:fldChar w:fldCharType="separate"/>
            </w:r>
            <w:r>
              <w:rPr>
                <w:noProof/>
                <w:webHidden/>
              </w:rPr>
              <w:t>57</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80" w:history="1">
            <w:r w:rsidRPr="00DB24A6">
              <w:rPr>
                <w:rStyle w:val="Hyperlink"/>
                <w:rFonts w:eastAsia="Calibri"/>
                <w:noProof/>
              </w:rPr>
              <w:t>6.6 Conclusie</w:t>
            </w:r>
            <w:r>
              <w:rPr>
                <w:noProof/>
                <w:webHidden/>
              </w:rPr>
              <w:tab/>
            </w:r>
            <w:r>
              <w:rPr>
                <w:noProof/>
                <w:webHidden/>
              </w:rPr>
              <w:fldChar w:fldCharType="begin"/>
            </w:r>
            <w:r>
              <w:rPr>
                <w:noProof/>
                <w:webHidden/>
              </w:rPr>
              <w:instrText xml:space="preserve"> PAGEREF _Toc299913180 \h </w:instrText>
            </w:r>
            <w:r>
              <w:rPr>
                <w:noProof/>
                <w:webHidden/>
              </w:rPr>
            </w:r>
            <w:r>
              <w:rPr>
                <w:noProof/>
                <w:webHidden/>
              </w:rPr>
              <w:fldChar w:fldCharType="separate"/>
            </w:r>
            <w:r>
              <w:rPr>
                <w:noProof/>
                <w:webHidden/>
              </w:rPr>
              <w:t>57</w:t>
            </w:r>
            <w:r>
              <w:rPr>
                <w:noProof/>
                <w:webHidden/>
              </w:rPr>
              <w:fldChar w:fldCharType="end"/>
            </w:r>
          </w:hyperlink>
        </w:p>
        <w:p w:rsidR="004126BC" w:rsidRDefault="004126BC">
          <w:pPr>
            <w:pStyle w:val="Inhopg2"/>
            <w:tabs>
              <w:tab w:val="right" w:leader="dot" w:pos="9062"/>
            </w:tabs>
            <w:rPr>
              <w:rFonts w:eastAsiaTheme="minorEastAsia"/>
              <w:noProof/>
              <w:lang w:eastAsia="nl-NL"/>
            </w:rPr>
          </w:pPr>
          <w:hyperlink w:anchor="_Toc299913181" w:history="1">
            <w:r w:rsidRPr="00DB24A6">
              <w:rPr>
                <w:rStyle w:val="Hyperlink"/>
                <w:noProof/>
              </w:rPr>
              <w:t>Hoofdstuk 7 – Samenvatting, conclusies en aanbevelingen</w:t>
            </w:r>
            <w:r>
              <w:rPr>
                <w:noProof/>
                <w:webHidden/>
              </w:rPr>
              <w:tab/>
            </w:r>
            <w:r>
              <w:rPr>
                <w:noProof/>
                <w:webHidden/>
              </w:rPr>
              <w:fldChar w:fldCharType="begin"/>
            </w:r>
            <w:r>
              <w:rPr>
                <w:noProof/>
                <w:webHidden/>
              </w:rPr>
              <w:instrText xml:space="preserve"> PAGEREF _Toc299913181 \h </w:instrText>
            </w:r>
            <w:r>
              <w:rPr>
                <w:noProof/>
                <w:webHidden/>
              </w:rPr>
            </w:r>
            <w:r>
              <w:rPr>
                <w:noProof/>
                <w:webHidden/>
              </w:rPr>
              <w:fldChar w:fldCharType="separate"/>
            </w:r>
            <w:r>
              <w:rPr>
                <w:noProof/>
                <w:webHidden/>
              </w:rPr>
              <w:t>58</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82" w:history="1">
            <w:r w:rsidRPr="00DB24A6">
              <w:rPr>
                <w:rStyle w:val="Hyperlink"/>
                <w:noProof/>
              </w:rPr>
              <w:t>7.1 Samenvatting</w:t>
            </w:r>
            <w:r>
              <w:rPr>
                <w:noProof/>
                <w:webHidden/>
              </w:rPr>
              <w:tab/>
            </w:r>
            <w:r>
              <w:rPr>
                <w:noProof/>
                <w:webHidden/>
              </w:rPr>
              <w:fldChar w:fldCharType="begin"/>
            </w:r>
            <w:r>
              <w:rPr>
                <w:noProof/>
                <w:webHidden/>
              </w:rPr>
              <w:instrText xml:space="preserve"> PAGEREF _Toc299913182 \h </w:instrText>
            </w:r>
            <w:r>
              <w:rPr>
                <w:noProof/>
                <w:webHidden/>
              </w:rPr>
            </w:r>
            <w:r>
              <w:rPr>
                <w:noProof/>
                <w:webHidden/>
              </w:rPr>
              <w:fldChar w:fldCharType="separate"/>
            </w:r>
            <w:r>
              <w:rPr>
                <w:noProof/>
                <w:webHidden/>
              </w:rPr>
              <w:t>58</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83" w:history="1">
            <w:r w:rsidRPr="00DB24A6">
              <w:rPr>
                <w:rStyle w:val="Hyperlink"/>
                <w:noProof/>
              </w:rPr>
              <w:t>7.2 Conclusies</w:t>
            </w:r>
            <w:r>
              <w:rPr>
                <w:noProof/>
                <w:webHidden/>
              </w:rPr>
              <w:tab/>
            </w:r>
            <w:r>
              <w:rPr>
                <w:noProof/>
                <w:webHidden/>
              </w:rPr>
              <w:fldChar w:fldCharType="begin"/>
            </w:r>
            <w:r>
              <w:rPr>
                <w:noProof/>
                <w:webHidden/>
              </w:rPr>
              <w:instrText xml:space="preserve"> PAGEREF _Toc299913183 \h </w:instrText>
            </w:r>
            <w:r>
              <w:rPr>
                <w:noProof/>
                <w:webHidden/>
              </w:rPr>
            </w:r>
            <w:r>
              <w:rPr>
                <w:noProof/>
                <w:webHidden/>
              </w:rPr>
              <w:fldChar w:fldCharType="separate"/>
            </w:r>
            <w:r>
              <w:rPr>
                <w:noProof/>
                <w:webHidden/>
              </w:rPr>
              <w:t>62</w:t>
            </w:r>
            <w:r>
              <w:rPr>
                <w:noProof/>
                <w:webHidden/>
              </w:rPr>
              <w:fldChar w:fldCharType="end"/>
            </w:r>
          </w:hyperlink>
        </w:p>
        <w:p w:rsidR="004126BC" w:rsidRDefault="004126BC">
          <w:pPr>
            <w:pStyle w:val="Inhopg3"/>
            <w:tabs>
              <w:tab w:val="right" w:leader="dot" w:pos="9062"/>
            </w:tabs>
            <w:rPr>
              <w:rFonts w:eastAsiaTheme="minorEastAsia"/>
              <w:noProof/>
              <w:lang w:eastAsia="nl-NL"/>
            </w:rPr>
          </w:pPr>
          <w:hyperlink w:anchor="_Toc299913184" w:history="1">
            <w:r w:rsidRPr="00DB24A6">
              <w:rPr>
                <w:rStyle w:val="Hyperlink"/>
                <w:noProof/>
              </w:rPr>
              <w:t>7.3 Aanbevelingen</w:t>
            </w:r>
            <w:r>
              <w:rPr>
                <w:noProof/>
                <w:webHidden/>
              </w:rPr>
              <w:tab/>
            </w:r>
            <w:r>
              <w:rPr>
                <w:noProof/>
                <w:webHidden/>
              </w:rPr>
              <w:fldChar w:fldCharType="begin"/>
            </w:r>
            <w:r>
              <w:rPr>
                <w:noProof/>
                <w:webHidden/>
              </w:rPr>
              <w:instrText xml:space="preserve"> PAGEREF _Toc299913184 \h </w:instrText>
            </w:r>
            <w:r>
              <w:rPr>
                <w:noProof/>
                <w:webHidden/>
              </w:rPr>
            </w:r>
            <w:r>
              <w:rPr>
                <w:noProof/>
                <w:webHidden/>
              </w:rPr>
              <w:fldChar w:fldCharType="separate"/>
            </w:r>
            <w:r>
              <w:rPr>
                <w:noProof/>
                <w:webHidden/>
              </w:rPr>
              <w:t>64</w:t>
            </w:r>
            <w:r>
              <w:rPr>
                <w:noProof/>
                <w:webHidden/>
              </w:rPr>
              <w:fldChar w:fldCharType="end"/>
            </w:r>
          </w:hyperlink>
        </w:p>
        <w:p w:rsidR="004126BC" w:rsidRDefault="004126BC">
          <w:pPr>
            <w:pStyle w:val="Inhopg2"/>
            <w:tabs>
              <w:tab w:val="right" w:leader="dot" w:pos="9062"/>
            </w:tabs>
            <w:rPr>
              <w:rFonts w:eastAsiaTheme="minorEastAsia"/>
              <w:noProof/>
              <w:lang w:eastAsia="nl-NL"/>
            </w:rPr>
          </w:pPr>
          <w:hyperlink w:anchor="_Toc299913185" w:history="1">
            <w:r w:rsidRPr="00DB24A6">
              <w:rPr>
                <w:rStyle w:val="Hyperlink"/>
                <w:noProof/>
              </w:rPr>
              <w:t>Literatuuropgave</w:t>
            </w:r>
            <w:r>
              <w:rPr>
                <w:noProof/>
                <w:webHidden/>
              </w:rPr>
              <w:tab/>
            </w:r>
            <w:r>
              <w:rPr>
                <w:noProof/>
                <w:webHidden/>
              </w:rPr>
              <w:fldChar w:fldCharType="begin"/>
            </w:r>
            <w:r>
              <w:rPr>
                <w:noProof/>
                <w:webHidden/>
              </w:rPr>
              <w:instrText xml:space="preserve"> PAGEREF _Toc299913185 \h </w:instrText>
            </w:r>
            <w:r>
              <w:rPr>
                <w:noProof/>
                <w:webHidden/>
              </w:rPr>
            </w:r>
            <w:r>
              <w:rPr>
                <w:noProof/>
                <w:webHidden/>
              </w:rPr>
              <w:fldChar w:fldCharType="separate"/>
            </w:r>
            <w:r>
              <w:rPr>
                <w:noProof/>
                <w:webHidden/>
              </w:rPr>
              <w:t>65</w:t>
            </w:r>
            <w:r>
              <w:rPr>
                <w:noProof/>
                <w:webHidden/>
              </w:rPr>
              <w:fldChar w:fldCharType="end"/>
            </w:r>
          </w:hyperlink>
        </w:p>
        <w:p w:rsidR="004126BC" w:rsidRDefault="004126BC">
          <w:r>
            <w:fldChar w:fldCharType="end"/>
          </w:r>
        </w:p>
      </w:sdtContent>
    </w:sdt>
    <w:p w:rsidR="0065082A" w:rsidRDefault="0065082A" w:rsidP="004126BC">
      <w:pPr>
        <w:pStyle w:val="Kop2"/>
      </w:pPr>
      <w:r>
        <w:br w:type="page"/>
      </w:r>
    </w:p>
    <w:p w:rsidR="008E1F85" w:rsidRPr="0065082A" w:rsidRDefault="008E1F85" w:rsidP="0065082A">
      <w:pPr>
        <w:pStyle w:val="Kop2"/>
        <w:rPr>
          <w:color w:val="auto"/>
        </w:rPr>
      </w:pPr>
      <w:bookmarkStart w:id="3" w:name="_Toc299913142"/>
      <w:r w:rsidRPr="0065082A">
        <w:rPr>
          <w:color w:val="auto"/>
        </w:rPr>
        <w:lastRenderedPageBreak/>
        <w:t>Hoofdstuk 1 – Inleiding</w:t>
      </w:r>
      <w:bookmarkEnd w:id="3"/>
      <w:r w:rsidRPr="0065082A">
        <w:rPr>
          <w:color w:val="auto"/>
        </w:rPr>
        <w:t xml:space="preserve"> </w:t>
      </w:r>
    </w:p>
    <w:p w:rsidR="00D4630A" w:rsidRPr="0065082A" w:rsidRDefault="00D4630A" w:rsidP="0065082A">
      <w:pPr>
        <w:pStyle w:val="Kop3"/>
        <w:rPr>
          <w:color w:val="auto"/>
        </w:rPr>
      </w:pPr>
      <w:bookmarkStart w:id="4" w:name="_Toc299913143"/>
      <w:r w:rsidRPr="0065082A">
        <w:rPr>
          <w:color w:val="auto"/>
        </w:rPr>
        <w:t>1.1 Inleiding</w:t>
      </w:r>
      <w:bookmarkEnd w:id="4"/>
    </w:p>
    <w:p w:rsidR="00D4630A" w:rsidRDefault="00D4630A" w:rsidP="00BD157F">
      <w:pPr>
        <w:spacing w:line="360" w:lineRule="auto"/>
      </w:pPr>
      <w:r>
        <w:t xml:space="preserve">Dit hoofdstuk is bedoeld om een algemene inleiding te geven op </w:t>
      </w:r>
      <w:r w:rsidR="002373F3">
        <w:t xml:space="preserve">deze </w:t>
      </w:r>
      <w:r>
        <w:t>s</w:t>
      </w:r>
      <w:r w:rsidR="00BD157F">
        <w:t>criptie. Allereerst wordt het onderwerp geïntroduceerd, gevolgd door een beschrijving van de centrale probleemstelling. Vervolgens wordt aandacht besteed aan de deelvragen die moeten leiden tot het antwoord op de probleemstelling. De inleiding wordt gecompleteerd met een beschrijving van het onderzoek en een verantwoording van de onderwerpskeuze. De uitwerking van bovengenoemde onderdelen maakt duidelijk wat u, als lezer, kunt verwachten van deze scriptie.</w:t>
      </w:r>
    </w:p>
    <w:p w:rsidR="00BD157F" w:rsidRPr="0065082A" w:rsidRDefault="00BD157F" w:rsidP="0065082A">
      <w:pPr>
        <w:pStyle w:val="Kop3"/>
        <w:rPr>
          <w:color w:val="auto"/>
        </w:rPr>
      </w:pPr>
      <w:bookmarkStart w:id="5" w:name="_Toc299913144"/>
      <w:r w:rsidRPr="0065082A">
        <w:rPr>
          <w:color w:val="auto"/>
        </w:rPr>
        <w:t>1.2 Onderwerp</w:t>
      </w:r>
      <w:bookmarkEnd w:id="5"/>
    </w:p>
    <w:p w:rsidR="00BD157F" w:rsidRDefault="00E410C9" w:rsidP="00BD157F">
      <w:pPr>
        <w:spacing w:line="360" w:lineRule="auto"/>
      </w:pPr>
      <w:r>
        <w:t xml:space="preserve">De International Accounting </w:t>
      </w:r>
      <w:proofErr w:type="spellStart"/>
      <w:r>
        <w:t>Standards</w:t>
      </w:r>
      <w:proofErr w:type="spellEnd"/>
      <w:r>
        <w:t xml:space="preserve"> Board</w:t>
      </w:r>
      <w:r>
        <w:rPr>
          <w:rStyle w:val="Voetnootmarkering"/>
        </w:rPr>
        <w:footnoteReference w:id="3"/>
      </w:r>
      <w:r>
        <w:t xml:space="preserve"> heeft in 2009 een standaard uitgebracht voor </w:t>
      </w:r>
      <w:proofErr w:type="spellStart"/>
      <w:r>
        <w:t>small</w:t>
      </w:r>
      <w:proofErr w:type="spellEnd"/>
      <w:r>
        <w:t xml:space="preserve"> and </w:t>
      </w:r>
      <w:proofErr w:type="spellStart"/>
      <w:r>
        <w:t>medium-sized</w:t>
      </w:r>
      <w:proofErr w:type="spellEnd"/>
      <w:r>
        <w:t xml:space="preserve"> </w:t>
      </w:r>
      <w:proofErr w:type="spellStart"/>
      <w:r>
        <w:t>entities</w:t>
      </w:r>
      <w:proofErr w:type="spellEnd"/>
      <w:r>
        <w:t>, waarin een compleet stelsel aan regelgeving wordt uiteengezet. De eisen zijn afgestemd op de behoeften van gebruikers van verslaggeving van deze categorie ondernemingen. Ten opzichte van full IFRS</w:t>
      </w:r>
      <w:r>
        <w:rPr>
          <w:rStyle w:val="Voetnootmarkering"/>
        </w:rPr>
        <w:footnoteReference w:id="4"/>
      </w:r>
      <w:r w:rsidR="002373F3">
        <w:t xml:space="preserve"> is beoogd </w:t>
      </w:r>
      <w:r>
        <w:t xml:space="preserve">een eenvoudiger stelsel op te zetten, aangezien aan kleine en middelgrote ondernemingen minder zware eisen gesteld kunnen worden dan aan beursgenoteerde vennootschappen. </w:t>
      </w:r>
    </w:p>
    <w:p w:rsidR="00E410C9" w:rsidRDefault="00E410C9" w:rsidP="00BD157F">
      <w:pPr>
        <w:spacing w:line="360" w:lineRule="auto"/>
      </w:pPr>
      <w:r>
        <w:t>Deze standaard, genaamd IFRS SME</w:t>
      </w:r>
      <w:r>
        <w:rPr>
          <w:rStyle w:val="Voetnootmarkering"/>
        </w:rPr>
        <w:footnoteReference w:id="5"/>
      </w:r>
      <w:r>
        <w:t xml:space="preserve">, is bedoeld voor wereldwijd gebruik om een oplossing te bieden voor de problemen die voortkomen uit de diverse nationale stelsels. Doordat er veel verschillen bestaan tussen deze stelsels, is het niet altijd eenvoudig vergelijkingen te maken tussen ondernemingen uit diverse landen. </w:t>
      </w:r>
      <w:r w:rsidR="00032664">
        <w:t>Met deze standaard hoopt de IASB in te spelen op dit probleem.</w:t>
      </w:r>
    </w:p>
    <w:p w:rsidR="00032664" w:rsidRDefault="00032664" w:rsidP="00BD157F">
      <w:pPr>
        <w:spacing w:line="360" w:lineRule="auto"/>
      </w:pPr>
      <w:r>
        <w:t>Niet overal wordt even positief gedacht over de standaard, discussies zijn nog altijd gaande over de voor- en nadelen en het is nog niet duidelijk of de standaard daadwerkelijk wereldwijd ingevoerd zal worden. Nederland is nog niet overgegaan tot invoering en de Europese Commissie evenmin.</w:t>
      </w:r>
    </w:p>
    <w:p w:rsidR="00032664" w:rsidRDefault="00032664" w:rsidP="00BD157F">
      <w:pPr>
        <w:spacing w:line="360" w:lineRule="auto"/>
      </w:pPr>
      <w:r>
        <w:t>Doordat er nog geen duidelijkheid is over de toekomst van de standaard</w:t>
      </w:r>
      <w:r w:rsidR="002373F3">
        <w:t>,</w:t>
      </w:r>
      <w:r>
        <w:t xml:space="preserve"> is het nog altijd een hot issue. In deze scriptie </w:t>
      </w:r>
      <w:r w:rsidR="002373F3">
        <w:t xml:space="preserve">wordt </w:t>
      </w:r>
      <w:r>
        <w:t xml:space="preserve">onderzoek </w:t>
      </w:r>
      <w:r w:rsidR="002373F3">
        <w:t xml:space="preserve">gedaan </w:t>
      </w:r>
      <w:r>
        <w:t xml:space="preserve">naar de </w:t>
      </w:r>
      <w:proofErr w:type="spellStart"/>
      <w:r>
        <w:t>SME-standaard</w:t>
      </w:r>
      <w:proofErr w:type="spellEnd"/>
      <w:r>
        <w:t xml:space="preserve">, waarbij met name </w:t>
      </w:r>
      <w:r w:rsidR="002373F3">
        <w:t xml:space="preserve">gekeken wordt </w:t>
      </w:r>
      <w:r>
        <w:t>naar de gevolgen van toepassing van de standaard. Voor- en nadelen worden belicht aan de hand van een verschillenanalyse tussen IFRS SME, de Nederlandse wet- en regelgeving</w:t>
      </w:r>
      <w:r>
        <w:rPr>
          <w:rStyle w:val="Voetnootmarkering"/>
        </w:rPr>
        <w:footnoteReference w:id="6"/>
      </w:r>
      <w:r>
        <w:t xml:space="preserve"> en full IFR</w:t>
      </w:r>
      <w:r w:rsidR="001B4307">
        <w:t xml:space="preserve">S. </w:t>
      </w:r>
    </w:p>
    <w:p w:rsidR="0065082A" w:rsidRDefault="0065082A" w:rsidP="00BD157F">
      <w:pPr>
        <w:spacing w:line="360" w:lineRule="auto"/>
        <w:rPr>
          <w:b/>
        </w:rPr>
      </w:pPr>
    </w:p>
    <w:p w:rsidR="00032664" w:rsidRPr="0065082A" w:rsidRDefault="00032664" w:rsidP="0065082A">
      <w:pPr>
        <w:pStyle w:val="Kop3"/>
        <w:rPr>
          <w:color w:val="auto"/>
        </w:rPr>
      </w:pPr>
      <w:bookmarkStart w:id="6" w:name="_Toc299913145"/>
      <w:r w:rsidRPr="0065082A">
        <w:rPr>
          <w:color w:val="auto"/>
        </w:rPr>
        <w:lastRenderedPageBreak/>
        <w:t xml:space="preserve">1.3 </w:t>
      </w:r>
      <w:r w:rsidR="001B4307" w:rsidRPr="0065082A">
        <w:rPr>
          <w:color w:val="auto"/>
        </w:rPr>
        <w:t>Probleemstelling</w:t>
      </w:r>
      <w:r w:rsidR="00E604EC" w:rsidRPr="0065082A">
        <w:rPr>
          <w:color w:val="auto"/>
        </w:rPr>
        <w:t xml:space="preserve"> en deelvragen</w:t>
      </w:r>
      <w:bookmarkEnd w:id="6"/>
    </w:p>
    <w:p w:rsidR="00032664" w:rsidRDefault="00E604EC" w:rsidP="0065082A">
      <w:pPr>
        <w:spacing w:after="240" w:line="360" w:lineRule="auto"/>
      </w:pPr>
      <w:r>
        <w:t xml:space="preserve">De probleemstelling die centraal staat in dit onderzoek luidt als volgt: </w:t>
      </w:r>
    </w:p>
    <w:p w:rsidR="00E604EC" w:rsidRDefault="00E604EC" w:rsidP="00BD157F">
      <w:pPr>
        <w:spacing w:line="360" w:lineRule="auto"/>
        <w:rPr>
          <w:i/>
        </w:rPr>
      </w:pPr>
      <w:r>
        <w:rPr>
          <w:i/>
        </w:rPr>
        <w:t>Wat voor invloed heeft IFRS SME op de ondernemingen uit de doelgroep?</w:t>
      </w:r>
    </w:p>
    <w:p w:rsidR="00E604EC" w:rsidRDefault="00E604EC" w:rsidP="00BD157F">
      <w:pPr>
        <w:spacing w:line="360" w:lineRule="auto"/>
      </w:pPr>
      <w:r>
        <w:t xml:space="preserve">Door deze probleemstelling te beantwoorden hoop ik een beeld te verkrijgen van de gevolgen die optreden bij ondernemingen die IFRS SME gaan toepassen. Deze gevolgen zullen niet louter positief zijn, aangezien de standaard nog niet wereldwijd is ingevoerd. </w:t>
      </w:r>
      <w:r w:rsidR="00EC0F44">
        <w:t xml:space="preserve">Aan de hand van de gevolgen die naar voren komen uit het onderzoek, </w:t>
      </w:r>
      <w:r w:rsidR="002373F3">
        <w:t xml:space="preserve">wordt een beeld geschetst van de </w:t>
      </w:r>
      <w:r w:rsidR="00EC0F44">
        <w:t>invloed van de sta</w:t>
      </w:r>
      <w:r w:rsidR="002373F3">
        <w:t>ndaard op de ondernemingen.</w:t>
      </w:r>
    </w:p>
    <w:p w:rsidR="00EC0F44" w:rsidRDefault="00EC0F44" w:rsidP="00BD157F">
      <w:pPr>
        <w:spacing w:line="360" w:lineRule="auto"/>
      </w:pPr>
      <w:r>
        <w:t>Om tot een antwoord te komen o</w:t>
      </w:r>
      <w:r w:rsidR="002373F3">
        <w:t xml:space="preserve">p de centrale probleemstelling worden </w:t>
      </w:r>
      <w:r w:rsidR="0065082A">
        <w:t xml:space="preserve">de volgende </w:t>
      </w:r>
      <w:r>
        <w:t xml:space="preserve">deelvragen </w:t>
      </w:r>
      <w:r w:rsidR="002373F3">
        <w:t>beantwoord</w:t>
      </w:r>
      <w:r w:rsidR="0065082A">
        <w:t>, waarvan u</w:t>
      </w:r>
      <w:r>
        <w:t xml:space="preserve">itgebreide verantwoording </w:t>
      </w:r>
      <w:r w:rsidR="0065082A">
        <w:t xml:space="preserve">plaats vindt </w:t>
      </w:r>
      <w:r>
        <w:t>in het hoofdstuk waarin de deelvraag wordt behandeld.</w:t>
      </w:r>
      <w:r w:rsidR="0065082A">
        <w:t xml:space="preserve"> </w:t>
      </w:r>
    </w:p>
    <w:p w:rsidR="00EC0F44" w:rsidRDefault="00720475" w:rsidP="00720475">
      <w:pPr>
        <w:pStyle w:val="Lijstalinea"/>
        <w:numPr>
          <w:ilvl w:val="0"/>
          <w:numId w:val="6"/>
        </w:numPr>
        <w:spacing w:line="360" w:lineRule="auto"/>
        <w:rPr>
          <w:i/>
        </w:rPr>
      </w:pPr>
      <w:r>
        <w:rPr>
          <w:i/>
        </w:rPr>
        <w:t>Wat houdt IFRS SME in?</w:t>
      </w:r>
    </w:p>
    <w:p w:rsidR="00720475" w:rsidRDefault="00720475" w:rsidP="00720475">
      <w:pPr>
        <w:pStyle w:val="Lijstalinea"/>
        <w:numPr>
          <w:ilvl w:val="0"/>
          <w:numId w:val="6"/>
        </w:numPr>
        <w:spacing w:line="360" w:lineRule="auto"/>
        <w:rPr>
          <w:i/>
        </w:rPr>
      </w:pPr>
      <w:r>
        <w:rPr>
          <w:i/>
        </w:rPr>
        <w:t>Hoe is IFRS SME tot stand gekomen?</w:t>
      </w:r>
    </w:p>
    <w:p w:rsidR="00720475" w:rsidRDefault="00720475" w:rsidP="00720475">
      <w:pPr>
        <w:pStyle w:val="Lijstalinea"/>
        <w:numPr>
          <w:ilvl w:val="0"/>
          <w:numId w:val="6"/>
        </w:numPr>
        <w:spacing w:line="360" w:lineRule="auto"/>
        <w:rPr>
          <w:i/>
        </w:rPr>
      </w:pPr>
      <w:r>
        <w:rPr>
          <w:i/>
        </w:rPr>
        <w:t>Hoe verhoudt toepassing van IFRS SME zich tot toepassing van de gebruikelijke regelgeving?</w:t>
      </w:r>
    </w:p>
    <w:p w:rsidR="00720475" w:rsidRDefault="00720475" w:rsidP="00720475">
      <w:pPr>
        <w:pStyle w:val="Lijstalinea"/>
        <w:numPr>
          <w:ilvl w:val="0"/>
          <w:numId w:val="6"/>
        </w:numPr>
        <w:spacing w:line="360" w:lineRule="auto"/>
        <w:rPr>
          <w:i/>
        </w:rPr>
      </w:pPr>
      <w:r>
        <w:rPr>
          <w:i/>
        </w:rPr>
        <w:t>Wat zijn de gevolgen van toepassing van IFRS SME voor de verslaggeving?</w:t>
      </w:r>
    </w:p>
    <w:p w:rsidR="00720475" w:rsidRDefault="00720475" w:rsidP="00720475">
      <w:pPr>
        <w:pStyle w:val="Lijstalinea"/>
        <w:numPr>
          <w:ilvl w:val="0"/>
          <w:numId w:val="6"/>
        </w:numPr>
        <w:spacing w:line="360" w:lineRule="auto"/>
        <w:rPr>
          <w:i/>
        </w:rPr>
      </w:pPr>
      <w:r>
        <w:rPr>
          <w:i/>
        </w:rPr>
        <w:t>Wat zijn de voordelen en nadelen van IFRS SME?</w:t>
      </w:r>
    </w:p>
    <w:p w:rsidR="00720475" w:rsidRDefault="00720475" w:rsidP="00720475">
      <w:pPr>
        <w:pStyle w:val="Lijstalinea"/>
        <w:numPr>
          <w:ilvl w:val="0"/>
          <w:numId w:val="6"/>
        </w:numPr>
        <w:spacing w:line="360" w:lineRule="auto"/>
        <w:rPr>
          <w:i/>
        </w:rPr>
      </w:pPr>
      <w:r>
        <w:rPr>
          <w:i/>
        </w:rPr>
        <w:t xml:space="preserve">Hoe kijkt de praktijk aan tegen de IFRS </w:t>
      </w:r>
      <w:proofErr w:type="spellStart"/>
      <w:r>
        <w:rPr>
          <w:i/>
        </w:rPr>
        <w:t>SME-standaard</w:t>
      </w:r>
      <w:proofErr w:type="spellEnd"/>
      <w:r>
        <w:rPr>
          <w:i/>
        </w:rPr>
        <w:t>?</w:t>
      </w:r>
    </w:p>
    <w:p w:rsidR="00D4630A" w:rsidRPr="0065082A" w:rsidRDefault="00720475" w:rsidP="0065082A">
      <w:pPr>
        <w:pStyle w:val="Kop3"/>
        <w:rPr>
          <w:color w:val="auto"/>
        </w:rPr>
      </w:pPr>
      <w:bookmarkStart w:id="7" w:name="_Toc299913146"/>
      <w:r w:rsidRPr="0065082A">
        <w:rPr>
          <w:color w:val="auto"/>
        </w:rPr>
        <w:t>1.4 Structuur scriptie</w:t>
      </w:r>
      <w:bookmarkEnd w:id="7"/>
    </w:p>
    <w:p w:rsidR="00720475" w:rsidRPr="00720475" w:rsidRDefault="00720475" w:rsidP="0065082A">
      <w:pPr>
        <w:spacing w:after="240" w:line="360" w:lineRule="auto"/>
      </w:pPr>
      <w:r>
        <w:t xml:space="preserve">Na deze inleiding volgt hoofdstuk twee met een beschrijving van het project IFRS SME. Hierin is aandacht voor de organisatie achter de standaard, de doelgroep van IFRS SME en het draagvlak voor invoering van de standaard. Tevens zal in dit hoofdstuk de eerste deelvraag worden beantwoord. Hoofdstuk drie behandelt deelvraag drie en beschrijft de totstandkoming van het project IFRS SME, In hoofdstuk vier worden de verschillen geanalyseerd tussen de IFRS </w:t>
      </w:r>
      <w:proofErr w:type="spellStart"/>
      <w:r>
        <w:t>SME-standaard</w:t>
      </w:r>
      <w:proofErr w:type="spellEnd"/>
      <w:r>
        <w:t xml:space="preserve">, Dutch GAAP en full IFRS. Hierbij wordt gekeken naar de balansposten die van groot belang zijn voor </w:t>
      </w:r>
      <w:proofErr w:type="spellStart"/>
      <w:r w:rsidR="00B91868">
        <w:t>small</w:t>
      </w:r>
      <w:proofErr w:type="spellEnd"/>
      <w:r w:rsidR="00B91868">
        <w:t xml:space="preserve"> and </w:t>
      </w:r>
      <w:proofErr w:type="spellStart"/>
      <w:r w:rsidR="00B91868">
        <w:t>medium-sized</w:t>
      </w:r>
      <w:proofErr w:type="spellEnd"/>
      <w:r w:rsidR="00B91868">
        <w:t xml:space="preserve"> </w:t>
      </w:r>
      <w:proofErr w:type="spellStart"/>
      <w:r w:rsidR="00B91868">
        <w:t>entities</w:t>
      </w:r>
      <w:proofErr w:type="spellEnd"/>
      <w:r>
        <w:t xml:space="preserve">, naar de resultatenrekening en naar de consolidatie-eisen. Dit dient om een antwoord te geven op deelvraag vier. Hoofdstuk vijf behandelt zowel deelvraag vier als vijf, aangezien deze twee nauw met elkaar samenhangen. Gekeken wordt naar de gevolgen voor de verslaggeving, voor gebruikers en andere belanghebbenden en naar de gevolgen voor de </w:t>
      </w:r>
      <w:r w:rsidR="00B91868">
        <w:t>ondernemingen.</w:t>
      </w:r>
      <w:r>
        <w:t xml:space="preserve"> </w:t>
      </w:r>
      <w:r w:rsidR="00B91868">
        <w:t>Ook</w:t>
      </w:r>
      <w:r>
        <w:t xml:space="preserve"> wordt geanalyseerd of er sprake is van duidelijke voor- en nadelen. </w:t>
      </w:r>
      <w:r w:rsidR="00B91868">
        <w:t xml:space="preserve">Hoofdstuk zes dient ter illustratie van de scriptie en ter beantwoording van deelvraag zes, waarbij aandacht is voor diverse partijen. In hoofdstuk zeven wordt een samenvatting gegeven van de resultaten uit het onderzoek en wordt afgesloten met een conclusie over de centrale probleemstelling. </w:t>
      </w:r>
    </w:p>
    <w:p w:rsidR="00B91868" w:rsidRPr="0065082A" w:rsidRDefault="00B91868" w:rsidP="0065082A">
      <w:pPr>
        <w:pStyle w:val="Kop3"/>
        <w:rPr>
          <w:color w:val="auto"/>
        </w:rPr>
      </w:pPr>
      <w:bookmarkStart w:id="8" w:name="_Toc299913147"/>
      <w:r w:rsidRPr="0065082A">
        <w:rPr>
          <w:color w:val="auto"/>
        </w:rPr>
        <w:lastRenderedPageBreak/>
        <w:t>1.5 Methode van onderzoek</w:t>
      </w:r>
      <w:bookmarkEnd w:id="8"/>
    </w:p>
    <w:p w:rsidR="00180425" w:rsidRDefault="006E1C42" w:rsidP="0065082A">
      <w:pPr>
        <w:spacing w:after="240" w:line="360" w:lineRule="auto"/>
      </w:pPr>
      <w:r>
        <w:t>Deze scriptie is voornamelijk g</w:t>
      </w:r>
      <w:r w:rsidR="002373F3">
        <w:t xml:space="preserve">ebaseerd op literatuuronderzoek. </w:t>
      </w:r>
      <w:r>
        <w:t xml:space="preserve">Tevens is gekozen voor een verschillenanalyse van </w:t>
      </w:r>
      <w:r w:rsidR="00267100">
        <w:t xml:space="preserve">diverse stelsels regelgeving, waaronder IFRS SME en de Nederlandse wet- en regelgeving. Om </w:t>
      </w:r>
      <w:r w:rsidR="004126BC">
        <w:t>enkele</w:t>
      </w:r>
      <w:r w:rsidR="00267100">
        <w:t xml:space="preserve"> aspecten van de besproken regelgeving toe te lichten is een aantal getallenvoorbeelden opgesteld. Hiermee </w:t>
      </w:r>
      <w:r w:rsidR="002373F3">
        <w:t xml:space="preserve">is beoogd </w:t>
      </w:r>
      <w:r w:rsidR="00267100">
        <w:t xml:space="preserve">duidelijkheid te scheppen over ingenomen stellingen. Uiteraard kent deze methode van onderzoek een beperking, er is geen empirische component aanwezig. Dit beperkt de mogelijkheden om tot een eensluidende conclusie te komen, doordat theoretische uitkomsten niet getoetst kunnen worden. Overigens is het eenvoudig </w:t>
      </w:r>
      <w:r w:rsidR="002373F3">
        <w:t>op</w:t>
      </w:r>
      <w:r w:rsidR="00267100">
        <w:t xml:space="preserve"> dit moment een empirisch onderzoek te doen naar de gevolgen van IFRS SME. Hiervoor zou idealiter een aantal jaren moeten verstrijken, waarna een vergelijkend onderzoek kan plaatsvinden naar de gerapporteerde resultaten van ondernemingen en de ervaringen van gebruikers van de verslaggeving. </w:t>
      </w:r>
    </w:p>
    <w:p w:rsidR="008E1F85" w:rsidRDefault="008E1F85" w:rsidP="00BD157F">
      <w:pPr>
        <w:spacing w:line="360" w:lineRule="auto"/>
        <w:rPr>
          <w:b/>
        </w:rPr>
      </w:pPr>
      <w:r>
        <w:rPr>
          <w:b/>
        </w:rPr>
        <w:br w:type="page"/>
      </w:r>
    </w:p>
    <w:p w:rsidR="00780824" w:rsidRPr="0065082A" w:rsidRDefault="00780824" w:rsidP="0065082A">
      <w:pPr>
        <w:pStyle w:val="Kop2"/>
        <w:rPr>
          <w:color w:val="auto"/>
        </w:rPr>
      </w:pPr>
      <w:bookmarkStart w:id="9" w:name="_Toc299913148"/>
      <w:r w:rsidRPr="0065082A">
        <w:rPr>
          <w:color w:val="auto"/>
        </w:rPr>
        <w:lastRenderedPageBreak/>
        <w:t>Hoofdstuk 2 – Het project IFRS SME</w:t>
      </w:r>
      <w:bookmarkEnd w:id="9"/>
    </w:p>
    <w:p w:rsidR="00780824" w:rsidRPr="0065082A" w:rsidRDefault="00780824" w:rsidP="0065082A">
      <w:pPr>
        <w:pStyle w:val="Kop3"/>
        <w:rPr>
          <w:color w:val="auto"/>
        </w:rPr>
      </w:pPr>
      <w:bookmarkStart w:id="10" w:name="_Toc299913149"/>
      <w:r w:rsidRPr="0065082A">
        <w:rPr>
          <w:color w:val="auto"/>
        </w:rPr>
        <w:t>2.1 Inleiding</w:t>
      </w:r>
      <w:bookmarkEnd w:id="10"/>
    </w:p>
    <w:p w:rsidR="00780824" w:rsidRDefault="00780824" w:rsidP="00780824">
      <w:pPr>
        <w:spacing w:line="360" w:lineRule="auto"/>
      </w:pPr>
      <w:r w:rsidRPr="00CE71F0">
        <w:t>Na de algemene inleiding op de scriptie volgt in dit hoofdstuk een beschrijving van de inhoud van IFRS SME. Om een beeld te schetsen van de organisatie achter de standaard begint dit hoofdstuk met een korte beschrijving van de IFRS Foundation. Hierbij komen de doelen van de organisatie aan de orde, gevolgd door een beschrijving van de taken</w:t>
      </w:r>
      <w:r>
        <w:t xml:space="preserve"> van de</w:t>
      </w:r>
      <w:r w:rsidRPr="00CE71F0">
        <w:t xml:space="preserve"> twee belangrijkste pijlers van de organisatie. Vervolgens wordt het project IFRS SME belicht. Dit begint met een beschrijving van het project, gevolgd door een uiteenzetting over de doelgroep van de standaard. Omdat de standaard specifiek gericht is op kleine en middelgrote </w:t>
      </w:r>
      <w:r>
        <w:t>ondernemingen</w:t>
      </w:r>
      <w:r w:rsidRPr="00CE71F0">
        <w:t xml:space="preserve"> is een omschrijving van de criteria die hieraan zijn verbonden van belang. Deze criteria bepalen immers de reikwijdte van de standaard. Na deze omschrijving wordt de status van IFRS SME belicht. Hierbij komt aan de orde of de bepalingen al voor toepassing vatbaar zijn. Het hoofdstuk wordt afgesloten met een overzicht van het internationale draagvlak voor de richtlijn, om te bepalen wat er van de standaard verwacht kan worden. </w:t>
      </w:r>
    </w:p>
    <w:p w:rsidR="00780824" w:rsidRPr="00CE71F0" w:rsidRDefault="00780824" w:rsidP="00780824">
      <w:pPr>
        <w:spacing w:line="360" w:lineRule="auto"/>
      </w:pPr>
      <w:r>
        <w:t>Dit hoofdstuk is voor de beantwoording van deelvr</w:t>
      </w:r>
      <w:r w:rsidRPr="00CE71F0">
        <w:t>aag één</w:t>
      </w:r>
      <w:r>
        <w:t xml:space="preserve">: </w:t>
      </w:r>
      <w:r w:rsidRPr="00CE71F0">
        <w:rPr>
          <w:i/>
        </w:rPr>
        <w:t>wat houdt IFRS SME in?</w:t>
      </w:r>
    </w:p>
    <w:p w:rsidR="00780824" w:rsidRPr="00CE71F0" w:rsidRDefault="00780824" w:rsidP="00780824">
      <w:pPr>
        <w:spacing w:line="360" w:lineRule="auto"/>
      </w:pPr>
      <w:r w:rsidRPr="00CE71F0">
        <w:t xml:space="preserve">Hierbij gaat het vooral om het project en de doelgroep. De specifieke regels komen niet in dit hoofdstuk aan de orde, dit onderdeel wordt behandeld in hoofdstuk vier, bij de analyse van verschillen met full IFRS en de RJ. </w:t>
      </w:r>
    </w:p>
    <w:p w:rsidR="00780824" w:rsidRPr="00CE71F0" w:rsidRDefault="00780824" w:rsidP="00780824">
      <w:pPr>
        <w:spacing w:line="360" w:lineRule="auto"/>
      </w:pPr>
      <w:r w:rsidRPr="00CE71F0">
        <w:t>De informatie die in dit hoofdstuk wordt gepresenteerd</w:t>
      </w:r>
      <w:r>
        <w:t>,</w:t>
      </w:r>
      <w:r w:rsidRPr="00CE71F0">
        <w:t xml:space="preserve"> is vooral van inleidend belang voor beantwoording van de hoofdvraag. Zonder achtergrondkennis over het project, de status van de regelgeving en het draagvlak voor de standaard is het niet mogelijk om te beantwoorden wat voor gevolgen IFRS SME heeft voor ondernemingen uit de doelgroep. </w:t>
      </w:r>
    </w:p>
    <w:p w:rsidR="00780824" w:rsidRPr="0065082A" w:rsidRDefault="00780824" w:rsidP="0065082A">
      <w:pPr>
        <w:pStyle w:val="Kop3"/>
        <w:rPr>
          <w:color w:val="auto"/>
        </w:rPr>
      </w:pPr>
      <w:bookmarkStart w:id="11" w:name="_Toc299913150"/>
      <w:r w:rsidRPr="0065082A">
        <w:rPr>
          <w:color w:val="auto"/>
        </w:rPr>
        <w:t>2.2 Organisatie</w:t>
      </w:r>
      <w:bookmarkEnd w:id="11"/>
      <w:r w:rsidRPr="0065082A">
        <w:rPr>
          <w:color w:val="auto"/>
        </w:rPr>
        <w:t xml:space="preserve"> </w:t>
      </w:r>
    </w:p>
    <w:p w:rsidR="0065082A" w:rsidRDefault="00780824" w:rsidP="00780824">
      <w:pPr>
        <w:spacing w:line="360" w:lineRule="auto"/>
      </w:pPr>
      <w:r>
        <w:t xml:space="preserve">IFRS SME is een standaard die uitgebracht is door de IFRS Foundation. IFRS staat hierbij voor International Financial </w:t>
      </w:r>
      <w:proofErr w:type="spellStart"/>
      <w:r>
        <w:t>Reporting</w:t>
      </w:r>
      <w:proofErr w:type="spellEnd"/>
      <w:r>
        <w:t xml:space="preserve"> </w:t>
      </w:r>
      <w:proofErr w:type="spellStart"/>
      <w:r>
        <w:t>Standards</w:t>
      </w:r>
      <w:proofErr w:type="spellEnd"/>
      <w:r>
        <w:t xml:space="preserve">, de term SME is een afkorting van het begrip </w:t>
      </w:r>
      <w:proofErr w:type="spellStart"/>
      <w:r>
        <w:t>Small</w:t>
      </w:r>
      <w:proofErr w:type="spellEnd"/>
      <w:r>
        <w:t xml:space="preserve"> and </w:t>
      </w:r>
      <w:proofErr w:type="spellStart"/>
      <w:r>
        <w:t>Medium-sized</w:t>
      </w:r>
      <w:proofErr w:type="spellEnd"/>
      <w:r>
        <w:t xml:space="preserve"> </w:t>
      </w:r>
      <w:proofErr w:type="spellStart"/>
      <w:r>
        <w:t>Entities</w:t>
      </w:r>
      <w:proofErr w:type="spellEnd"/>
      <w:r>
        <w:t xml:space="preserve">. De IFRS organisatie is een onafhankelijke instantie die werkt in het publieke belang. Haar doelen bestaan uit het ontwikkelen van één geheel van begrijpelijke en toepasbare </w:t>
      </w:r>
      <w:proofErr w:type="spellStart"/>
      <w:r>
        <w:t>Reporting</w:t>
      </w:r>
      <w:proofErr w:type="spellEnd"/>
      <w:r>
        <w:t xml:space="preserve"> </w:t>
      </w:r>
      <w:proofErr w:type="spellStart"/>
      <w:r>
        <w:t>Standards</w:t>
      </w:r>
      <w:proofErr w:type="spellEnd"/>
      <w:r>
        <w:t xml:space="preserve"> en het verspreiden van deze regelingen, opdat deze over de gehele wereld worden gebruikt. In 2005 is hier ook de zorg voor specifieke richtlijnen voor </w:t>
      </w:r>
      <w:proofErr w:type="spellStart"/>
      <w:r>
        <w:t>SMEs</w:t>
      </w:r>
      <w:proofErr w:type="spellEnd"/>
      <w:r>
        <w:t xml:space="preserve"> en opkomende economieën bijgekomen.</w:t>
      </w:r>
      <w:r w:rsidR="0065082A">
        <w:t xml:space="preserve"> </w:t>
      </w:r>
      <w:r>
        <w:t>Tijdens de herziening van het statuut is dit doel expliciet opgenomen, waarmee het belang van deze groepen is erkend</w:t>
      </w:r>
      <w:r>
        <w:rPr>
          <w:rStyle w:val="Voetnootmarkering"/>
        </w:rPr>
        <w:footnoteReference w:id="7"/>
      </w:r>
      <w:r>
        <w:t xml:space="preserve">. </w:t>
      </w:r>
    </w:p>
    <w:p w:rsidR="00780824" w:rsidRDefault="00780824" w:rsidP="00780824">
      <w:pPr>
        <w:spacing w:line="360" w:lineRule="auto"/>
      </w:pPr>
      <w:r>
        <w:lastRenderedPageBreak/>
        <w:t>Deze richtlijnen moeten aansluiten bij de specifieke eisen die gesteld worden aan externe verslaggeving bij deze partijen. Hierbij is wereldwijde convergentie van regelgeving het einddoel, zodat er geen sprake meer is van uiteenlopende nationale regelingen. Dit einddoel is echter niet te bereiken zonder aandacht te geven aan bijzondere omstandigheden zoals die van opkomende economieën. De regel</w:t>
      </w:r>
      <w:r w:rsidR="0065082A">
        <w:t xml:space="preserve">geving in dergelijke landen is </w:t>
      </w:r>
      <w:r>
        <w:t xml:space="preserve">niet van hetzelfde niveau als in westerse landen, een achterstand die geleidelijk moet worden ingelopen. Het is niet mogelijk een draagvlak te creëren voor uniforme regelgeving zonder een overgangsperiode </w:t>
      </w:r>
      <w:r w:rsidR="0065082A">
        <w:t>voor geleidelijk convergentie</w:t>
      </w:r>
      <w:r>
        <w:t xml:space="preserve">. </w:t>
      </w:r>
    </w:p>
    <w:p w:rsidR="00780824" w:rsidRDefault="00780824" w:rsidP="00780824">
      <w:pPr>
        <w:spacing w:line="360" w:lineRule="auto"/>
      </w:pPr>
      <w:r>
        <w:t xml:space="preserve">De organisatie achter de standaarden bestaat uit twee pijlers met verschillende bevoegdheden. De International Accounting </w:t>
      </w:r>
      <w:proofErr w:type="spellStart"/>
      <w:r>
        <w:t>Standards</w:t>
      </w:r>
      <w:proofErr w:type="spellEnd"/>
      <w:r>
        <w:t xml:space="preserve"> Board is verantwoordelijk voor het creëren en uitbrengen van de standaarden. Deze organisatie is onafhankelijk en bestaat onder andere uit accountants en gebruikers van jaarrekeningen. De creatie is een proces dat gepaard gaat met feedback en kritiek van diverse belanghebbenden en hun vertegenwoordigende organisaties. Dit proces komt nader aan de orde in hoofdstuk drie, waar de totstandkoming van IFRS SME wordt beschreven. </w:t>
      </w:r>
    </w:p>
    <w:p w:rsidR="00780824" w:rsidRDefault="00780824" w:rsidP="00780824">
      <w:pPr>
        <w:spacing w:line="360" w:lineRule="auto"/>
      </w:pPr>
      <w:r>
        <w:t xml:space="preserve">Naast de IASB functioneert het IFRS </w:t>
      </w:r>
      <w:proofErr w:type="spellStart"/>
      <w:r>
        <w:t>Interpretations</w:t>
      </w:r>
      <w:proofErr w:type="spellEnd"/>
      <w:r>
        <w:t xml:space="preserve"> </w:t>
      </w:r>
      <w:proofErr w:type="spellStart"/>
      <w:r>
        <w:t>Committee</w:t>
      </w:r>
      <w:proofErr w:type="spellEnd"/>
      <w:r>
        <w:rPr>
          <w:rStyle w:val="Voetnootmarkering"/>
        </w:rPr>
        <w:footnoteReference w:id="8"/>
      </w:r>
      <w:r>
        <w:t xml:space="preserve"> als orgaan dat verantwoordelijk is voor het onderzoeken van belangrijke kwesties en discussies die zijn ontstaan naar aanleiding van één van de standaarden. Dit kan het gevolg zijn van verschillen in de uitleg en toepassing van een bepaalde regel, maar ook naar aanleiding van kritiek op de inhoud van de standaard. Het </w:t>
      </w:r>
      <w:proofErr w:type="spellStart"/>
      <w:r>
        <w:t>Committee</w:t>
      </w:r>
      <w:proofErr w:type="spellEnd"/>
      <w:r>
        <w:t xml:space="preserve"> heeft als taak om na het onderzoek een gezaghebbende conclusie te geven in de vorm van een IFRIC leidraad. </w:t>
      </w:r>
      <w:r w:rsidR="0065082A">
        <w:t xml:space="preserve">Hierin wordt aangegeven </w:t>
      </w:r>
      <w:r>
        <w:t xml:space="preserve">hoe </w:t>
      </w:r>
      <w:r w:rsidR="0065082A">
        <w:t>d</w:t>
      </w:r>
      <w:r>
        <w:t xml:space="preserve">e </w:t>
      </w:r>
      <w:proofErr w:type="spellStart"/>
      <w:r>
        <w:t>IFRS-standaard</w:t>
      </w:r>
      <w:proofErr w:type="spellEnd"/>
      <w:r>
        <w:t xml:space="preserve"> uitgelegd en toegepast moet worden. </w:t>
      </w:r>
    </w:p>
    <w:p w:rsidR="00780824" w:rsidRDefault="00780824" w:rsidP="00780824">
      <w:pPr>
        <w:spacing w:line="360" w:lineRule="auto"/>
      </w:pPr>
      <w:r>
        <w:t xml:space="preserve">Om tot de bovengenoemde conclusie te komen wordt een periode opengesteld waarin het publiek commentaren kan insturen. In deze commentaren kan de inzender aangeven wat hij van de kwestie vindt en wat in zijn ogen de beste oplossing zou zijn. Nadat het </w:t>
      </w:r>
      <w:proofErr w:type="spellStart"/>
      <w:r>
        <w:t>Committee</w:t>
      </w:r>
      <w:proofErr w:type="spellEnd"/>
      <w:r>
        <w:t xml:space="preserve"> tot overeenstemming is gekomen, wordt de opgestelde interpretatie voorgelegd aan het IASB. De IASB moet de interpretatie ratificeren voordat deze wordt gepubliceerd. Op het moment dat de leden van de IASB niet tot ratificatie willen overgaan, zullen zij hun bezwaren kenbaar maken aan het </w:t>
      </w:r>
      <w:proofErr w:type="spellStart"/>
      <w:r>
        <w:t>Interpretation</w:t>
      </w:r>
      <w:proofErr w:type="spellEnd"/>
      <w:r>
        <w:t xml:space="preserve"> </w:t>
      </w:r>
      <w:proofErr w:type="spellStart"/>
      <w:r>
        <w:t>Comittee</w:t>
      </w:r>
      <w:proofErr w:type="spellEnd"/>
      <w:r>
        <w:t xml:space="preserve">. De IASB kan de kwestie vervolgens terugverwijzen naar het </w:t>
      </w:r>
      <w:proofErr w:type="spellStart"/>
      <w:r>
        <w:t>Committee</w:t>
      </w:r>
      <w:proofErr w:type="spellEnd"/>
      <w:r>
        <w:t>, dan wel zelf tot actie overgaan. Geratificeerde interpretaties worden gepubliceerd door het IASB.</w:t>
      </w:r>
      <w:r>
        <w:rPr>
          <w:rStyle w:val="Voetnootmarkering"/>
        </w:rPr>
        <w:footnoteReference w:id="9"/>
      </w:r>
      <w:r>
        <w:t xml:space="preserve"> Bij beide instanties is de </w:t>
      </w:r>
      <w:r w:rsidR="0065082A">
        <w:t>t</w:t>
      </w:r>
      <w:r>
        <w:t>otstandkoming van standaarden en interpretaties ingericht als een transparant proces met veel ruimte voor inspraak van belanghebbenden.</w:t>
      </w:r>
      <w:r>
        <w:rPr>
          <w:rStyle w:val="Voetnootmarkering"/>
        </w:rPr>
        <w:footnoteReference w:id="10"/>
      </w:r>
      <w:r w:rsidR="00DF5613">
        <w:t xml:space="preserve"> </w:t>
      </w:r>
      <w:r w:rsidR="00DF5613">
        <w:rPr>
          <w:rStyle w:val="Voetnootmarkering"/>
        </w:rPr>
        <w:footnoteReference w:id="11"/>
      </w:r>
    </w:p>
    <w:p w:rsidR="00780824" w:rsidRPr="0065082A" w:rsidRDefault="00780824" w:rsidP="0065082A">
      <w:pPr>
        <w:pStyle w:val="Kop3"/>
        <w:rPr>
          <w:color w:val="auto"/>
        </w:rPr>
      </w:pPr>
      <w:bookmarkStart w:id="12" w:name="_Toc299913151"/>
      <w:r w:rsidRPr="0065082A">
        <w:rPr>
          <w:color w:val="auto"/>
        </w:rPr>
        <w:lastRenderedPageBreak/>
        <w:t xml:space="preserve">2.3 Inhoud IFRS </w:t>
      </w:r>
      <w:proofErr w:type="spellStart"/>
      <w:r w:rsidRPr="0065082A">
        <w:rPr>
          <w:color w:val="auto"/>
        </w:rPr>
        <w:t>SME-standaard</w:t>
      </w:r>
      <w:bookmarkEnd w:id="12"/>
      <w:proofErr w:type="spellEnd"/>
      <w:r w:rsidRPr="0065082A">
        <w:rPr>
          <w:color w:val="auto"/>
        </w:rPr>
        <w:t xml:space="preserve"> </w:t>
      </w:r>
    </w:p>
    <w:p w:rsidR="00780824" w:rsidRPr="00F25C9A" w:rsidRDefault="00780824" w:rsidP="00780824">
      <w:pPr>
        <w:spacing w:line="360" w:lineRule="auto"/>
      </w:pPr>
      <w:r w:rsidRPr="00F25C9A">
        <w:t xml:space="preserve">De ontwikkeling van IFRS SME laat zien dat de IFRS </w:t>
      </w:r>
      <w:r>
        <w:t>F</w:t>
      </w:r>
      <w:r w:rsidRPr="00F25C9A">
        <w:t xml:space="preserve">oundation oog heeft voor de belangen van externe verslaggeving bij </w:t>
      </w:r>
      <w:proofErr w:type="spellStart"/>
      <w:r w:rsidRPr="00F25C9A">
        <w:t>small</w:t>
      </w:r>
      <w:proofErr w:type="spellEnd"/>
      <w:r w:rsidRPr="00F25C9A">
        <w:t xml:space="preserve"> and </w:t>
      </w:r>
      <w:proofErr w:type="spellStart"/>
      <w:r w:rsidRPr="00F25C9A">
        <w:t>medium-sized</w:t>
      </w:r>
      <w:proofErr w:type="spellEnd"/>
      <w:r w:rsidRPr="00F25C9A">
        <w:t xml:space="preserve"> </w:t>
      </w:r>
      <w:proofErr w:type="spellStart"/>
      <w:r w:rsidRPr="00F25C9A">
        <w:t>entities</w:t>
      </w:r>
      <w:proofErr w:type="spellEnd"/>
      <w:r w:rsidRPr="00F25C9A">
        <w:t xml:space="preserve">. Bij de beschrijving van haar doelen is al aangevoerd dat regelgeving voor deze groep </w:t>
      </w:r>
      <w:r>
        <w:t>ondernemingen</w:t>
      </w:r>
      <w:r w:rsidRPr="00F25C9A">
        <w:t xml:space="preserve"> een van de speerpunten is in haar beleid. De standaard voor </w:t>
      </w:r>
      <w:proofErr w:type="spellStart"/>
      <w:r w:rsidRPr="00F25C9A">
        <w:t>SMEs</w:t>
      </w:r>
      <w:proofErr w:type="spellEnd"/>
      <w:r w:rsidRPr="00F25C9A">
        <w:t xml:space="preserve"> is hier een uitwerking van. In hoofdstuk </w:t>
      </w:r>
      <w:r>
        <w:t>3</w:t>
      </w:r>
      <w:r w:rsidRPr="00F25C9A">
        <w:t xml:space="preserve"> komt de totstandkoming van de standaard naar voren. Daar zal nader worden ingegaan op het ontwikkelingsproces en de achterliggende motieven.</w:t>
      </w:r>
    </w:p>
    <w:p w:rsidR="00780824" w:rsidRPr="00F25C9A" w:rsidRDefault="00780824" w:rsidP="00780824">
      <w:pPr>
        <w:spacing w:line="360" w:lineRule="auto"/>
      </w:pPr>
      <w:r>
        <w:t xml:space="preserve">De standaard bevat </w:t>
      </w:r>
      <w:r w:rsidRPr="00F25C9A">
        <w:t>230 pagina’s</w:t>
      </w:r>
      <w:r>
        <w:t>, waarin de</w:t>
      </w:r>
      <w:r w:rsidRPr="00F25C9A">
        <w:t xml:space="preserve"> eisen</w:t>
      </w:r>
      <w:r>
        <w:t xml:space="preserve"> worden beschreven die gelden voor de verslaggeving van deze ondernemingen.</w:t>
      </w:r>
      <w:r w:rsidRPr="00F25C9A">
        <w:t xml:space="preserve"> De bepalingen zijn afgestemd op de informatie die van belang is voor gebruikers van rapportages van de betrokken ondernemingen. Ook is rekening gehouden met het feit dat van kleinere organisaties minder verwacht kan worden dan van grote, beursgenoteerde ondernemingen. Er hoeft minder gerapporteerd te worden, de uitwerking is eenvoudiger gehouden dan bij het volledige stelsel van </w:t>
      </w:r>
      <w:proofErr w:type="spellStart"/>
      <w:r w:rsidRPr="00F25C9A">
        <w:t>IFRS-richtlijnen</w:t>
      </w:r>
      <w:proofErr w:type="spellEnd"/>
      <w:r w:rsidRPr="00F25C9A">
        <w:t xml:space="preserve">. Dit uit zich het sterkst in de kwantiteit van de regelgeving; waar IFRS SME volstaat met 230 pagina’s, bestaat het volledige IFRS stelsel uit 2800 pagina’s. Een schatting van de IFRS </w:t>
      </w:r>
      <w:r>
        <w:t>F</w:t>
      </w:r>
      <w:r w:rsidRPr="00F25C9A">
        <w:t>oundation is dat</w:t>
      </w:r>
      <w:r>
        <w:t xml:space="preserve"> wereldwijd</w:t>
      </w:r>
      <w:r w:rsidRPr="00F25C9A">
        <w:t xml:space="preserve"> 95% van alle ondernemingen in de </w:t>
      </w:r>
      <w:proofErr w:type="spellStart"/>
      <w:r w:rsidRPr="00F25C9A">
        <w:t>SME</w:t>
      </w:r>
      <w:r>
        <w:t>-</w:t>
      </w:r>
      <w:r w:rsidRPr="00F25C9A">
        <w:t>categorie</w:t>
      </w:r>
      <w:proofErr w:type="spellEnd"/>
      <w:r w:rsidRPr="00F25C9A">
        <w:t xml:space="preserve"> valt.</w:t>
      </w:r>
      <w:r>
        <w:rPr>
          <w:rStyle w:val="Voetnootmarkering"/>
        </w:rPr>
        <w:footnoteReference w:id="12"/>
      </w:r>
      <w:r w:rsidRPr="00F25C9A">
        <w:t xml:space="preserve"> </w:t>
      </w:r>
    </w:p>
    <w:p w:rsidR="00780824" w:rsidRPr="0065082A" w:rsidRDefault="00780824" w:rsidP="0065082A">
      <w:pPr>
        <w:pStyle w:val="Kop3"/>
        <w:rPr>
          <w:color w:val="auto"/>
        </w:rPr>
      </w:pPr>
      <w:bookmarkStart w:id="13" w:name="_Toc299913152"/>
      <w:r w:rsidRPr="0065082A">
        <w:rPr>
          <w:color w:val="auto"/>
        </w:rPr>
        <w:t>2.4 Doelgroep</w:t>
      </w:r>
      <w:bookmarkEnd w:id="13"/>
      <w:r w:rsidRPr="0065082A">
        <w:rPr>
          <w:color w:val="auto"/>
        </w:rPr>
        <w:t xml:space="preserve"> </w:t>
      </w:r>
    </w:p>
    <w:p w:rsidR="00780824" w:rsidRDefault="00780824" w:rsidP="00780824">
      <w:pPr>
        <w:spacing w:line="360" w:lineRule="auto"/>
      </w:pPr>
      <w:r w:rsidRPr="00F25C9A">
        <w:t xml:space="preserve">In de inleidende bepalingen op de </w:t>
      </w:r>
      <w:proofErr w:type="spellStart"/>
      <w:r w:rsidRPr="00F25C9A">
        <w:t>SME</w:t>
      </w:r>
      <w:r>
        <w:t>-</w:t>
      </w:r>
      <w:r w:rsidRPr="00F25C9A">
        <w:t>standaard</w:t>
      </w:r>
      <w:proofErr w:type="spellEnd"/>
      <w:r w:rsidRPr="00F25C9A">
        <w:t xml:space="preserve"> is vastgesteld dat het begrip </w:t>
      </w:r>
      <w:proofErr w:type="spellStart"/>
      <w:r w:rsidRPr="00F25C9A">
        <w:t>small</w:t>
      </w:r>
      <w:proofErr w:type="spellEnd"/>
      <w:r w:rsidRPr="00F25C9A">
        <w:t xml:space="preserve"> and </w:t>
      </w:r>
      <w:proofErr w:type="spellStart"/>
      <w:r w:rsidRPr="00F25C9A">
        <w:t>medium-sized</w:t>
      </w:r>
      <w:proofErr w:type="spellEnd"/>
      <w:r w:rsidRPr="00F25C9A">
        <w:t xml:space="preserve"> </w:t>
      </w:r>
      <w:proofErr w:type="spellStart"/>
      <w:r w:rsidRPr="00F25C9A">
        <w:t>entities</w:t>
      </w:r>
      <w:proofErr w:type="spellEnd"/>
      <w:r w:rsidRPr="00F25C9A">
        <w:t xml:space="preserve"> een aantal ondernemingsvormen kan omvatten. De bedoelde groep wordt niet over de hele wereld op gelijke wijze benoemd. </w:t>
      </w:r>
      <w:r w:rsidR="001302F4">
        <w:t>Gespro</w:t>
      </w:r>
      <w:r>
        <w:t>ken wordt van</w:t>
      </w:r>
      <w:r w:rsidRPr="00F25C9A">
        <w:t xml:space="preserve"> “private </w:t>
      </w:r>
      <w:proofErr w:type="spellStart"/>
      <w:r w:rsidRPr="00F25C9A">
        <w:t>entities</w:t>
      </w:r>
      <w:proofErr w:type="spellEnd"/>
      <w:r w:rsidRPr="00F25C9A">
        <w:t xml:space="preserve">, </w:t>
      </w:r>
      <w:proofErr w:type="spellStart"/>
      <w:r w:rsidRPr="00F25C9A">
        <w:t>small</w:t>
      </w:r>
      <w:proofErr w:type="spellEnd"/>
      <w:r w:rsidRPr="00F25C9A">
        <w:t xml:space="preserve"> and </w:t>
      </w:r>
      <w:proofErr w:type="spellStart"/>
      <w:r w:rsidRPr="00F25C9A">
        <w:t>medium-sized</w:t>
      </w:r>
      <w:proofErr w:type="spellEnd"/>
      <w:r w:rsidRPr="00F25C9A">
        <w:t xml:space="preserve"> </w:t>
      </w:r>
      <w:proofErr w:type="spellStart"/>
      <w:r w:rsidRPr="00F25C9A">
        <w:t>entities</w:t>
      </w:r>
      <w:proofErr w:type="spellEnd"/>
      <w:r>
        <w:t>”</w:t>
      </w:r>
      <w:r w:rsidRPr="00F25C9A">
        <w:t xml:space="preserve">, maar ook </w:t>
      </w:r>
      <w:r>
        <w:t>van “</w:t>
      </w:r>
      <w:proofErr w:type="spellStart"/>
      <w:r w:rsidRPr="00F25C9A">
        <w:t>non-publicly</w:t>
      </w:r>
      <w:proofErr w:type="spellEnd"/>
      <w:r w:rsidRPr="00F25C9A">
        <w:t xml:space="preserve"> </w:t>
      </w:r>
      <w:proofErr w:type="spellStart"/>
      <w:r w:rsidRPr="00F25C9A">
        <w:t>accountable</w:t>
      </w:r>
      <w:proofErr w:type="spellEnd"/>
      <w:r w:rsidRPr="00F25C9A">
        <w:t xml:space="preserve"> </w:t>
      </w:r>
      <w:proofErr w:type="spellStart"/>
      <w:r w:rsidRPr="00F25C9A">
        <w:t>entities</w:t>
      </w:r>
      <w:proofErr w:type="spellEnd"/>
      <w:r w:rsidRPr="00F25C9A">
        <w:t>”</w:t>
      </w:r>
      <w:r>
        <w:rPr>
          <w:rStyle w:val="Voetnootmarkering"/>
        </w:rPr>
        <w:footnoteReference w:id="13"/>
      </w:r>
      <w:r w:rsidRPr="00F25C9A">
        <w:t xml:space="preserve"> De gangbare term in Nederland is midden- en kleinbedrijf (MKB). Deze definities worden ingevuld aan de hand van criteria die vaak per land verschillen. </w:t>
      </w:r>
      <w:r>
        <w:t>Deze criteria bestaan vaak uit</w:t>
      </w:r>
      <w:r w:rsidRPr="00F25C9A">
        <w:t xml:space="preserve"> kwantitatieve normen die losstaan van het al dan niet publiceren van ‘</w:t>
      </w:r>
      <w:proofErr w:type="spellStart"/>
      <w:r w:rsidRPr="00F25C9A">
        <w:t>general</w:t>
      </w:r>
      <w:proofErr w:type="spellEnd"/>
      <w:r w:rsidRPr="00F25C9A">
        <w:t xml:space="preserve"> </w:t>
      </w:r>
      <w:proofErr w:type="spellStart"/>
      <w:r w:rsidRPr="00F25C9A">
        <w:t>purpose</w:t>
      </w:r>
      <w:proofErr w:type="spellEnd"/>
      <w:r w:rsidRPr="00F25C9A">
        <w:t xml:space="preserve"> </w:t>
      </w:r>
      <w:proofErr w:type="spellStart"/>
      <w:r w:rsidRPr="00F25C9A">
        <w:t>financial</w:t>
      </w:r>
      <w:proofErr w:type="spellEnd"/>
      <w:r w:rsidRPr="00F25C9A">
        <w:t xml:space="preserve"> statements</w:t>
      </w:r>
      <w:r>
        <w:t xml:space="preserve">’ voor </w:t>
      </w:r>
      <w:r w:rsidRPr="00F25C9A">
        <w:t>extern</w:t>
      </w:r>
      <w:r>
        <w:t>e</w:t>
      </w:r>
      <w:r w:rsidRPr="00F25C9A">
        <w:t xml:space="preserve"> </w:t>
      </w:r>
      <w:r>
        <w:t>gebruikers</w:t>
      </w:r>
      <w:r>
        <w:rPr>
          <w:rStyle w:val="Voetnootmarkering"/>
        </w:rPr>
        <w:footnoteReference w:id="14"/>
      </w:r>
      <w:r w:rsidRPr="00F25C9A">
        <w:t>. Met deze term wordt bedoeld dat de jaarverslaggeving wordt gepubliceerd om</w:t>
      </w:r>
      <w:r>
        <w:t xml:space="preserve"> e</w:t>
      </w:r>
      <w:r w:rsidRPr="00F25C9A">
        <w:t>en breed s</w:t>
      </w:r>
      <w:r>
        <w:t xml:space="preserve">cala aan gebruikers te bedienen, </w:t>
      </w:r>
      <w:r w:rsidRPr="00F25C9A">
        <w:t xml:space="preserve">variërend van </w:t>
      </w:r>
      <w:r>
        <w:t xml:space="preserve">investeerders </w:t>
      </w:r>
      <w:r w:rsidRPr="00F25C9A">
        <w:t>tot de toezichthoudende autoriteiten</w:t>
      </w:r>
      <w:r>
        <w:rPr>
          <w:rStyle w:val="Voetnootmarkering"/>
        </w:rPr>
        <w:footnoteReference w:id="15"/>
      </w:r>
      <w:r w:rsidRPr="00F25C9A">
        <w:t xml:space="preserve">. </w:t>
      </w:r>
    </w:p>
    <w:p w:rsidR="0065082A" w:rsidRDefault="0065082A" w:rsidP="00780824">
      <w:pPr>
        <w:spacing w:line="360" w:lineRule="auto"/>
      </w:pPr>
    </w:p>
    <w:p w:rsidR="005A09E9" w:rsidRDefault="00780824" w:rsidP="005A09E9">
      <w:pPr>
        <w:spacing w:line="360" w:lineRule="auto"/>
      </w:pPr>
      <w:r>
        <w:lastRenderedPageBreak/>
        <w:t>Om een beeld te schetsen van het verschil in gebruikte criteria volgt een overzicht van de situatie in Nederland, Duitsland en een Europese aanbeveling. Dit wordt vervolgens afgezet tegen de normen die worden toegepast in de IFRS SME standaard. Hiervoor is gekozen wegens het belang van de term SME, op het moment dat een onderneming buiten de reikwijdte valt, kan deze geen gebruikmaken van de standaard.</w:t>
      </w:r>
    </w:p>
    <w:p w:rsidR="00780824" w:rsidRDefault="00780824" w:rsidP="005A09E9">
      <w:pPr>
        <w:spacing w:line="360" w:lineRule="auto"/>
      </w:pPr>
      <w:r>
        <w:t xml:space="preserve">De afwijkende normen kunnen er toe leiden dat een onderneming wegens nationale criteria wel tot het MKB behoort, maar toch niet behoort tot het toepassingsgebied van IFRS SME. </w:t>
      </w:r>
    </w:p>
    <w:p w:rsidR="00780824" w:rsidRPr="00692B14" w:rsidRDefault="00780824" w:rsidP="00780824">
      <w:pPr>
        <w:spacing w:line="360" w:lineRule="auto"/>
      </w:pPr>
      <w:r w:rsidRPr="00692B14">
        <w:t xml:space="preserve">In Nederland worden rechtspersonen ingedeeld aan de hand van drie kwantitatieve criteria. Om de grootte te bepalen wordt gekeken naar balanstotaal, netto-omzet en aantal werknemers. Om gekwalificeerd te worden als kleine of middelgrote onderneming moet </w:t>
      </w:r>
      <w:r>
        <w:t>voldaan worden</w:t>
      </w:r>
      <w:r w:rsidRPr="00692B14">
        <w:t xml:space="preserve"> aan twee van de drie eisen. Het balanstotaal is gesteld op de waarde van de activa die voortvloeit uit de balans met toelichting, op grondslag van </w:t>
      </w:r>
      <w:proofErr w:type="spellStart"/>
      <w:r w:rsidRPr="00692B14">
        <w:t>verkrijgings</w:t>
      </w:r>
      <w:proofErr w:type="spellEnd"/>
      <w:r w:rsidRPr="00692B14">
        <w:t xml:space="preserve">- en </w:t>
      </w:r>
      <w:proofErr w:type="spellStart"/>
      <w:r w:rsidRPr="00692B14">
        <w:t>vervaardigingsprijs</w:t>
      </w:r>
      <w:proofErr w:type="spellEnd"/>
      <w:r w:rsidRPr="00692B14">
        <w:t xml:space="preserve">. Voor het aantal werknemers wordt gekeken naar het gemiddelde </w:t>
      </w:r>
      <w:r>
        <w:t xml:space="preserve">in </w:t>
      </w:r>
      <w:r w:rsidRPr="00692B14">
        <w:t xml:space="preserve">het boekjaar. </w:t>
      </w:r>
    </w:p>
    <w:p w:rsidR="00780824" w:rsidRPr="00692B14" w:rsidRDefault="00780824" w:rsidP="0027637E">
      <w:pPr>
        <w:spacing w:after="0" w:line="240" w:lineRule="auto"/>
      </w:pPr>
      <w:r w:rsidRPr="00692B14">
        <w:rPr>
          <w:noProof/>
          <w:lang w:eastAsia="nl-NL"/>
        </w:rPr>
        <w:drawing>
          <wp:inline distT="0" distB="0" distL="0" distR="0">
            <wp:extent cx="4457700" cy="857250"/>
            <wp:effectExtent l="19050" t="0" r="0" b="0"/>
            <wp:docPr id="4"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4457700" cy="857250"/>
                    </a:xfrm>
                    <a:prstGeom prst="rect">
                      <a:avLst/>
                    </a:prstGeom>
                    <a:noFill/>
                    <a:ln w="9525">
                      <a:noFill/>
                      <a:miter lim="800000"/>
                      <a:headEnd/>
                      <a:tailEnd/>
                    </a:ln>
                  </pic:spPr>
                </pic:pic>
              </a:graphicData>
            </a:graphic>
          </wp:inline>
        </w:drawing>
      </w:r>
    </w:p>
    <w:p w:rsidR="00780824" w:rsidRPr="00692B14" w:rsidRDefault="00780824" w:rsidP="00780824">
      <w:pPr>
        <w:spacing w:after="0" w:line="360" w:lineRule="auto"/>
        <w:rPr>
          <w:vertAlign w:val="superscript"/>
        </w:rPr>
      </w:pPr>
      <w:r w:rsidRPr="00692B14">
        <w:rPr>
          <w:vertAlign w:val="superscript"/>
        </w:rPr>
        <w:t>Tabel 1: Criteria MKB in Nederland. Bron: Artikelen 396 en 397 van boek 2 BW.</w:t>
      </w:r>
    </w:p>
    <w:p w:rsidR="00780824" w:rsidRPr="00692B14" w:rsidRDefault="00780824" w:rsidP="00780824">
      <w:pPr>
        <w:spacing w:line="360" w:lineRule="auto"/>
      </w:pPr>
      <w:r w:rsidRPr="00692B14">
        <w:t xml:space="preserve">In Duitsland </w:t>
      </w:r>
      <w:r>
        <w:t xml:space="preserve">wordt een </w:t>
      </w:r>
      <w:r w:rsidRPr="00692B14">
        <w:t>vergelijkbare indeling</w:t>
      </w:r>
      <w:r>
        <w:t xml:space="preserve"> gebruikt</w:t>
      </w:r>
      <w:r w:rsidRPr="00692B14">
        <w:t>, aan de hand van de</w:t>
      </w:r>
      <w:r>
        <w:t xml:space="preserve">zelfde criteria. Ook hier moeten ondernemingen </w:t>
      </w:r>
      <w:r w:rsidRPr="00692B14">
        <w:t xml:space="preserve">aan twee van de drie vereisten voldoen om </w:t>
      </w:r>
      <w:r>
        <w:t>tot de</w:t>
      </w:r>
      <w:r w:rsidRPr="00692B14">
        <w:t xml:space="preserve"> noemer ‘Kleine </w:t>
      </w:r>
      <w:proofErr w:type="spellStart"/>
      <w:r w:rsidRPr="00692B14">
        <w:t>Kapitalgesellschaft</w:t>
      </w:r>
      <w:proofErr w:type="spellEnd"/>
      <w:r w:rsidRPr="00692B14">
        <w:t>’ of ‘</w:t>
      </w:r>
      <w:proofErr w:type="spellStart"/>
      <w:r w:rsidRPr="00692B14">
        <w:t>Mittelgroße</w:t>
      </w:r>
      <w:proofErr w:type="spellEnd"/>
      <w:r w:rsidRPr="00692B14">
        <w:t xml:space="preserve"> </w:t>
      </w:r>
      <w:proofErr w:type="spellStart"/>
      <w:r w:rsidRPr="00692B14">
        <w:t>Kapitalgesellschaft</w:t>
      </w:r>
      <w:proofErr w:type="spellEnd"/>
      <w:r w:rsidRPr="00692B14">
        <w:t xml:space="preserve">’ te </w:t>
      </w:r>
      <w:r>
        <w:t>behoren</w:t>
      </w:r>
      <w:r w:rsidRPr="00692B14">
        <w:t xml:space="preserve">. Uit het Duitse </w:t>
      </w:r>
      <w:proofErr w:type="spellStart"/>
      <w:r w:rsidRPr="00692B14">
        <w:t>Handelsgezetsbuch</w:t>
      </w:r>
      <w:proofErr w:type="spellEnd"/>
      <w:r w:rsidRPr="00692B14">
        <w:t xml:space="preserve">, vergelijkbaar met het Nederlandse Burgerlijk Wetboek, komen de volgende kwantitatieve criteria naar voren. </w:t>
      </w:r>
    </w:p>
    <w:p w:rsidR="00780824" w:rsidRPr="00692B14" w:rsidRDefault="00780824" w:rsidP="0027637E">
      <w:pPr>
        <w:spacing w:after="0" w:line="240" w:lineRule="auto"/>
      </w:pPr>
      <w:r w:rsidRPr="00692B14">
        <w:rPr>
          <w:noProof/>
          <w:lang w:eastAsia="nl-NL"/>
        </w:rPr>
        <w:drawing>
          <wp:inline distT="0" distB="0" distL="0" distR="0">
            <wp:extent cx="5038725" cy="885825"/>
            <wp:effectExtent l="19050" t="0" r="9525"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038725" cy="885825"/>
                    </a:xfrm>
                    <a:prstGeom prst="rect">
                      <a:avLst/>
                    </a:prstGeom>
                    <a:noFill/>
                    <a:ln w="9525">
                      <a:noFill/>
                      <a:miter lim="800000"/>
                      <a:headEnd/>
                      <a:tailEnd/>
                    </a:ln>
                  </pic:spPr>
                </pic:pic>
              </a:graphicData>
            </a:graphic>
          </wp:inline>
        </w:drawing>
      </w:r>
    </w:p>
    <w:p w:rsidR="00780824" w:rsidRPr="00692B14" w:rsidRDefault="00780824" w:rsidP="00780824">
      <w:pPr>
        <w:spacing w:after="0" w:line="360" w:lineRule="auto"/>
        <w:rPr>
          <w:vertAlign w:val="superscript"/>
        </w:rPr>
      </w:pPr>
      <w:r w:rsidRPr="00692B14">
        <w:rPr>
          <w:vertAlign w:val="superscript"/>
        </w:rPr>
        <w:t xml:space="preserve">Tabel 2: Criteria kleine en middelgrote ondernemingen in Duitsland. Bron: Artikel 267 </w:t>
      </w:r>
      <w:proofErr w:type="spellStart"/>
      <w:r w:rsidRPr="00692B14">
        <w:rPr>
          <w:vertAlign w:val="superscript"/>
        </w:rPr>
        <w:t>Handelsgesetzbuch</w:t>
      </w:r>
      <w:proofErr w:type="spellEnd"/>
    </w:p>
    <w:p w:rsidR="00780824" w:rsidRPr="00692B14" w:rsidRDefault="00780824" w:rsidP="00780824">
      <w:pPr>
        <w:spacing w:line="360" w:lineRule="auto"/>
      </w:pPr>
      <w:r w:rsidRPr="00692B14">
        <w:t>De Europese Commissie heeft een richtlijn opgesteld om de criteria die voor deze categorieën gelden te uniformeren. Lidstaten mogen hiervan afwijken, de aanbeveling is vooral belang voor een gunstiger regime</w:t>
      </w:r>
      <w:r>
        <w:t xml:space="preserve"> voor kleine en middelgrote ondernemingen</w:t>
      </w:r>
      <w:r w:rsidRPr="00692B14">
        <w:t xml:space="preserve"> bij het ontvangen van staatss</w:t>
      </w:r>
      <w:r>
        <w:t>teun</w:t>
      </w:r>
      <w:r w:rsidRPr="00692B14">
        <w:t>. Om hiervoor in aanmerking te komen</w:t>
      </w:r>
      <w:r>
        <w:t xml:space="preserve"> moet worden voldaan </w:t>
      </w:r>
      <w:r w:rsidRPr="00692B14">
        <w:t xml:space="preserve">aan de normen van de Europese Commissie, die voortvloeien uit Aanbeveling 98/280/EG. Hierbij geldt dat </w:t>
      </w:r>
      <w:r>
        <w:t>de ondernemingen,</w:t>
      </w:r>
      <w:r w:rsidRPr="00692B14">
        <w:t xml:space="preserve"> naast aan het werknemersaantal, dan wel aan het balanstotaal dan wel aan de omzet moet</w:t>
      </w:r>
      <w:r>
        <w:t>en</w:t>
      </w:r>
      <w:r w:rsidRPr="00692B14">
        <w:t xml:space="preserve"> voldoen.</w:t>
      </w:r>
    </w:p>
    <w:p w:rsidR="00780824" w:rsidRPr="00692B14" w:rsidRDefault="00780824" w:rsidP="0027637E">
      <w:pPr>
        <w:spacing w:after="0" w:line="240" w:lineRule="auto"/>
      </w:pPr>
      <w:r w:rsidRPr="00692B14">
        <w:rPr>
          <w:noProof/>
          <w:lang w:eastAsia="nl-NL"/>
        </w:rPr>
        <w:lastRenderedPageBreak/>
        <w:drawing>
          <wp:inline distT="0" distB="0" distL="0" distR="0">
            <wp:extent cx="5753100" cy="685800"/>
            <wp:effectExtent l="1905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5753100" cy="685800"/>
                    </a:xfrm>
                    <a:prstGeom prst="rect">
                      <a:avLst/>
                    </a:prstGeom>
                    <a:noFill/>
                    <a:ln w="9525">
                      <a:noFill/>
                      <a:miter lim="800000"/>
                      <a:headEnd/>
                      <a:tailEnd/>
                    </a:ln>
                  </pic:spPr>
                </pic:pic>
              </a:graphicData>
            </a:graphic>
          </wp:inline>
        </w:drawing>
      </w:r>
    </w:p>
    <w:p w:rsidR="00780824" w:rsidRPr="00692B14" w:rsidRDefault="00780824" w:rsidP="00780824">
      <w:pPr>
        <w:spacing w:after="0" w:line="360" w:lineRule="auto"/>
        <w:rPr>
          <w:vertAlign w:val="superscript"/>
        </w:rPr>
      </w:pPr>
      <w:r w:rsidRPr="00692B14">
        <w:rPr>
          <w:vertAlign w:val="superscript"/>
        </w:rPr>
        <w:t>Tabel 3: Criteria kleine en middelgrote ondernemingen volgens Europese Commissie</w:t>
      </w:r>
    </w:p>
    <w:p w:rsidR="00780824" w:rsidRDefault="00780824" w:rsidP="0027637E">
      <w:pPr>
        <w:spacing w:line="360" w:lineRule="auto"/>
      </w:pPr>
      <w:r w:rsidRPr="00692B14">
        <w:t xml:space="preserve">Ook in Engeland </w:t>
      </w:r>
      <w:r>
        <w:t>bestaat</w:t>
      </w:r>
      <w:r w:rsidRPr="00692B14">
        <w:t xml:space="preserve"> een vergelijkbare indeling, met kwantitatieve criteria als beslissende factor (</w:t>
      </w:r>
      <w:proofErr w:type="spellStart"/>
      <w:r w:rsidRPr="00692B14">
        <w:t>Section</w:t>
      </w:r>
      <w:proofErr w:type="spellEnd"/>
      <w:r w:rsidRPr="00692B14">
        <w:t xml:space="preserve"> 382, 465 </w:t>
      </w:r>
      <w:proofErr w:type="spellStart"/>
      <w:r w:rsidRPr="00692B14">
        <w:t>Companies</w:t>
      </w:r>
      <w:proofErr w:type="spellEnd"/>
      <w:r w:rsidRPr="00692B14">
        <w:t xml:space="preserve"> Act 2006). In de Verenigde Staten </w:t>
      </w:r>
      <w:r>
        <w:t>is g</w:t>
      </w:r>
      <w:r w:rsidRPr="00692B14">
        <w:t xml:space="preserve">ekozen voor een ander stelsel waar de criteria verschillen per branche, om zo te komen tot een passende indeling die aansluit bij de diversiteit tussen branches. Kern van dit stelsel is dat een kleine of middelgrote onderneming in ieder geval niet dominant mag zijn op landelijk niveau, aangevuld met de kwantitatieve criteria die opgesteld worden door de overheidsinstantie </w:t>
      </w:r>
      <w:proofErr w:type="spellStart"/>
      <w:r w:rsidRPr="00692B14">
        <w:t>Small</w:t>
      </w:r>
      <w:proofErr w:type="spellEnd"/>
      <w:r w:rsidRPr="00692B14">
        <w:t xml:space="preserve"> Business </w:t>
      </w:r>
      <w:proofErr w:type="spellStart"/>
      <w:r w:rsidRPr="00692B14">
        <w:t>Administration</w:t>
      </w:r>
      <w:proofErr w:type="spellEnd"/>
      <w:r w:rsidRPr="00692B14">
        <w:t xml:space="preserve"> (SBA) </w:t>
      </w:r>
      <w:proofErr w:type="spellStart"/>
      <w:r w:rsidRPr="00692B14">
        <w:t>Size</w:t>
      </w:r>
      <w:proofErr w:type="spellEnd"/>
      <w:r w:rsidRPr="00692B14">
        <w:t xml:space="preserve"> </w:t>
      </w:r>
      <w:proofErr w:type="spellStart"/>
      <w:r w:rsidRPr="00692B14">
        <w:t>Standards</w:t>
      </w:r>
      <w:proofErr w:type="spellEnd"/>
      <w:r w:rsidRPr="00692B14">
        <w:t xml:space="preserve"> Office</w:t>
      </w:r>
      <w:r>
        <w:rPr>
          <w:rStyle w:val="Voetnootmarkering"/>
        </w:rPr>
        <w:footnoteReference w:id="16"/>
      </w:r>
      <w:r w:rsidRPr="00692B14">
        <w:t>.</w:t>
      </w:r>
    </w:p>
    <w:p w:rsidR="00780824" w:rsidRDefault="00780824" w:rsidP="0027637E">
      <w:pPr>
        <w:spacing w:line="360" w:lineRule="auto"/>
      </w:pPr>
      <w:r w:rsidRPr="00F25C9A">
        <w:t xml:space="preserve">De invulling van deze termen dekt echter niet dezelfde lading als het begrip </w:t>
      </w:r>
      <w:proofErr w:type="spellStart"/>
      <w:r w:rsidRPr="00F25C9A">
        <w:t>Small</w:t>
      </w:r>
      <w:proofErr w:type="spellEnd"/>
      <w:r w:rsidRPr="00F25C9A">
        <w:t xml:space="preserve"> and </w:t>
      </w:r>
      <w:proofErr w:type="spellStart"/>
      <w:r w:rsidRPr="00F25C9A">
        <w:t>Medium-sized</w:t>
      </w:r>
      <w:proofErr w:type="spellEnd"/>
      <w:r w:rsidRPr="00F25C9A">
        <w:t xml:space="preserve"> </w:t>
      </w:r>
      <w:proofErr w:type="spellStart"/>
      <w:r w:rsidRPr="00F25C9A">
        <w:t>Entities</w:t>
      </w:r>
      <w:proofErr w:type="spellEnd"/>
      <w:r w:rsidRPr="00F25C9A">
        <w:t xml:space="preserve"> in de SME standaard. </w:t>
      </w:r>
      <w:r>
        <w:t xml:space="preserve">De standaard gebruikt dan ook een eigen definitie om de doelgroep te benoemen. In sectie 1 wordt de reikwijdte van de standaard gesteld op </w:t>
      </w:r>
      <w:proofErr w:type="spellStart"/>
      <w:r>
        <w:t>Small</w:t>
      </w:r>
      <w:proofErr w:type="spellEnd"/>
      <w:r>
        <w:t xml:space="preserve"> and </w:t>
      </w:r>
      <w:proofErr w:type="spellStart"/>
      <w:r>
        <w:t>Medium-sized</w:t>
      </w:r>
      <w:proofErr w:type="spellEnd"/>
      <w:r>
        <w:t xml:space="preserve"> </w:t>
      </w:r>
      <w:proofErr w:type="spellStart"/>
      <w:r>
        <w:t>Entities</w:t>
      </w:r>
      <w:proofErr w:type="spellEnd"/>
      <w:r>
        <w:t xml:space="preserve">. Om tot deze categorie te behoren moeten ondernemingen aan twee eisen voldoen; de onderneming moet; </w:t>
      </w:r>
    </w:p>
    <w:p w:rsidR="00780824" w:rsidRDefault="00780824" w:rsidP="00780824">
      <w:pPr>
        <w:pStyle w:val="Lijstalinea"/>
        <w:numPr>
          <w:ilvl w:val="0"/>
          <w:numId w:val="1"/>
        </w:numPr>
        <w:spacing w:after="0" w:line="360" w:lineRule="auto"/>
      </w:pPr>
      <w:r>
        <w:t xml:space="preserve">geen </w:t>
      </w:r>
      <w:r w:rsidRPr="00D43927">
        <w:rPr>
          <w:i/>
        </w:rPr>
        <w:t xml:space="preserve">‘public </w:t>
      </w:r>
      <w:proofErr w:type="spellStart"/>
      <w:r w:rsidRPr="00D43927">
        <w:rPr>
          <w:i/>
        </w:rPr>
        <w:t>accountability</w:t>
      </w:r>
      <w:proofErr w:type="spellEnd"/>
      <w:r w:rsidRPr="00D43927">
        <w:rPr>
          <w:i/>
        </w:rPr>
        <w:t xml:space="preserve">’ </w:t>
      </w:r>
      <w:r>
        <w:t>hebben en</w:t>
      </w:r>
    </w:p>
    <w:p w:rsidR="00780824" w:rsidRDefault="00780824" w:rsidP="0027637E">
      <w:pPr>
        <w:pStyle w:val="Lijstalinea"/>
        <w:numPr>
          <w:ilvl w:val="0"/>
          <w:numId w:val="1"/>
        </w:numPr>
        <w:spacing w:line="360" w:lineRule="auto"/>
        <w:ind w:left="714" w:hanging="357"/>
        <w:rPr>
          <w:lang w:val="en-US"/>
        </w:rPr>
      </w:pPr>
      <w:r w:rsidRPr="00D43927">
        <w:rPr>
          <w:lang w:val="en-US"/>
        </w:rPr>
        <w:t>‘</w:t>
      </w:r>
      <w:r w:rsidRPr="00D43927">
        <w:rPr>
          <w:i/>
          <w:lang w:val="en-US"/>
        </w:rPr>
        <w:t xml:space="preserve">general purpose financial statements’ </w:t>
      </w:r>
      <w:proofErr w:type="spellStart"/>
      <w:r w:rsidRPr="00D43927">
        <w:rPr>
          <w:lang w:val="en-US"/>
        </w:rPr>
        <w:t>voor</w:t>
      </w:r>
      <w:proofErr w:type="spellEnd"/>
      <w:r w:rsidRPr="00D43927">
        <w:rPr>
          <w:lang w:val="en-US"/>
        </w:rPr>
        <w:t xml:space="preserve"> </w:t>
      </w:r>
      <w:proofErr w:type="spellStart"/>
      <w:r w:rsidRPr="00D43927">
        <w:rPr>
          <w:lang w:val="en-US"/>
        </w:rPr>
        <w:t>externe</w:t>
      </w:r>
      <w:proofErr w:type="spellEnd"/>
      <w:r w:rsidRPr="00D43927">
        <w:rPr>
          <w:lang w:val="en-US"/>
        </w:rPr>
        <w:t xml:space="preserve"> </w:t>
      </w:r>
      <w:proofErr w:type="spellStart"/>
      <w:r w:rsidRPr="00D43927">
        <w:rPr>
          <w:lang w:val="en-US"/>
        </w:rPr>
        <w:t>gebruikers</w:t>
      </w:r>
      <w:proofErr w:type="spellEnd"/>
      <w:r w:rsidRPr="00D43927">
        <w:rPr>
          <w:lang w:val="en-US"/>
        </w:rPr>
        <w:t xml:space="preserve"> </w:t>
      </w:r>
      <w:proofErr w:type="spellStart"/>
      <w:r w:rsidRPr="00D43927">
        <w:rPr>
          <w:lang w:val="en-US"/>
        </w:rPr>
        <w:t>publiceren</w:t>
      </w:r>
      <w:proofErr w:type="spellEnd"/>
      <w:r w:rsidRPr="00D43927">
        <w:rPr>
          <w:lang w:val="en-US"/>
        </w:rPr>
        <w:t xml:space="preserve">. </w:t>
      </w:r>
    </w:p>
    <w:p w:rsidR="00780824" w:rsidRDefault="00780824" w:rsidP="00780824">
      <w:pPr>
        <w:spacing w:after="0" w:line="360" w:lineRule="auto"/>
      </w:pPr>
      <w:r w:rsidRPr="00D43927">
        <w:t xml:space="preserve">Om deze voorwaarden in te vullen geeft de IFRS een aantal </w:t>
      </w:r>
      <w:r w:rsidR="00700FC5">
        <w:t xml:space="preserve">gezichtspunten, die hierna worden uitgewerkt. </w:t>
      </w:r>
    </w:p>
    <w:p w:rsidR="0027637E" w:rsidRDefault="0027637E" w:rsidP="00780824">
      <w:pPr>
        <w:spacing w:after="0" w:line="360" w:lineRule="auto"/>
        <w:rPr>
          <w:b/>
        </w:rPr>
      </w:pPr>
    </w:p>
    <w:p w:rsidR="00780824" w:rsidRDefault="00780824" w:rsidP="00780824">
      <w:pPr>
        <w:spacing w:after="0" w:line="360" w:lineRule="auto"/>
        <w:rPr>
          <w:b/>
        </w:rPr>
      </w:pPr>
      <w:r w:rsidRPr="000B4468">
        <w:rPr>
          <w:b/>
        </w:rPr>
        <w:t xml:space="preserve">Public </w:t>
      </w:r>
      <w:proofErr w:type="spellStart"/>
      <w:r w:rsidRPr="000B4468">
        <w:rPr>
          <w:b/>
        </w:rPr>
        <w:t>accountability</w:t>
      </w:r>
      <w:proofErr w:type="spellEnd"/>
    </w:p>
    <w:p w:rsidR="00780824" w:rsidRDefault="00780824" w:rsidP="00780824">
      <w:pPr>
        <w:spacing w:after="0" w:line="360" w:lineRule="auto"/>
      </w:pPr>
      <w:r>
        <w:t xml:space="preserve">Public </w:t>
      </w:r>
      <w:proofErr w:type="spellStart"/>
      <w:r>
        <w:t>accountability</w:t>
      </w:r>
      <w:proofErr w:type="spellEnd"/>
      <w:r>
        <w:t xml:space="preserve"> is van toepassing op het moment dat de onderneming financiële instrumenten uitgeeft op een publieke markt, dan wel van plan is dit te gaan doen. Onder de noemer van financiële instrumenten vallen zowel </w:t>
      </w:r>
      <w:proofErr w:type="spellStart"/>
      <w:r>
        <w:t>equity</w:t>
      </w:r>
      <w:proofErr w:type="spellEnd"/>
      <w:r>
        <w:t xml:space="preserve"> als vreemd vermogen. Ondernemingen die onder deze noemer vallen, zoals beursgenoteerde ondernemingen, komen niet in aanmerking voor toepassing van IFRS SME.</w:t>
      </w:r>
      <w:r w:rsidR="00700FC5">
        <w:t xml:space="preserve"> </w:t>
      </w:r>
      <w:r>
        <w:t xml:space="preserve">Een andere groep ondernemingen die public </w:t>
      </w:r>
      <w:proofErr w:type="spellStart"/>
      <w:r>
        <w:t>accountability</w:t>
      </w:r>
      <w:proofErr w:type="spellEnd"/>
      <w:r>
        <w:t xml:space="preserve"> hebben, omvat entiteiten die als primaire activiteit activa aanhouden voor een brede groep externe belanghebbenden</w:t>
      </w:r>
      <w:r>
        <w:rPr>
          <w:rStyle w:val="Voetnootmarkering"/>
        </w:rPr>
        <w:footnoteReference w:id="17"/>
      </w:r>
      <w:r>
        <w:t xml:space="preserve">. Ook financiële instellingen komen dus niet in aanmerking voor het gebruik van IFRS SME. </w:t>
      </w:r>
    </w:p>
    <w:p w:rsidR="00780824" w:rsidRDefault="00780824" w:rsidP="00780824">
      <w:pPr>
        <w:spacing w:after="0" w:line="360" w:lineRule="auto"/>
        <w:rPr>
          <w:b/>
        </w:rPr>
      </w:pPr>
    </w:p>
    <w:p w:rsidR="00700FC5" w:rsidRDefault="00700FC5" w:rsidP="00780824">
      <w:pPr>
        <w:spacing w:after="0" w:line="360" w:lineRule="auto"/>
        <w:rPr>
          <w:b/>
        </w:rPr>
      </w:pPr>
    </w:p>
    <w:p w:rsidR="00780824" w:rsidRDefault="00780824" w:rsidP="00780824">
      <w:pPr>
        <w:spacing w:after="0" w:line="360" w:lineRule="auto"/>
        <w:rPr>
          <w:b/>
        </w:rPr>
      </w:pPr>
      <w:r>
        <w:rPr>
          <w:b/>
        </w:rPr>
        <w:lastRenderedPageBreak/>
        <w:t xml:space="preserve">Publicatie </w:t>
      </w:r>
      <w:proofErr w:type="spellStart"/>
      <w:r>
        <w:rPr>
          <w:b/>
        </w:rPr>
        <w:t>general</w:t>
      </w:r>
      <w:proofErr w:type="spellEnd"/>
      <w:r>
        <w:rPr>
          <w:b/>
        </w:rPr>
        <w:t xml:space="preserve"> </w:t>
      </w:r>
      <w:proofErr w:type="spellStart"/>
      <w:r>
        <w:rPr>
          <w:b/>
        </w:rPr>
        <w:t>purpose</w:t>
      </w:r>
      <w:proofErr w:type="spellEnd"/>
      <w:r>
        <w:rPr>
          <w:b/>
        </w:rPr>
        <w:t xml:space="preserve"> </w:t>
      </w:r>
      <w:proofErr w:type="spellStart"/>
      <w:r>
        <w:rPr>
          <w:b/>
        </w:rPr>
        <w:t>financial</w:t>
      </w:r>
      <w:proofErr w:type="spellEnd"/>
      <w:r>
        <w:rPr>
          <w:b/>
        </w:rPr>
        <w:t xml:space="preserve"> statements</w:t>
      </w:r>
    </w:p>
    <w:p w:rsidR="00780824" w:rsidRDefault="00780824" w:rsidP="00700FC5">
      <w:pPr>
        <w:spacing w:line="360" w:lineRule="auto"/>
      </w:pPr>
      <w:r>
        <w:t xml:space="preserve">Aan de publicatie van </w:t>
      </w:r>
      <w:proofErr w:type="spellStart"/>
      <w:r>
        <w:t>general</w:t>
      </w:r>
      <w:proofErr w:type="spellEnd"/>
      <w:r>
        <w:t xml:space="preserve"> </w:t>
      </w:r>
      <w:proofErr w:type="spellStart"/>
      <w:r>
        <w:t>purpose</w:t>
      </w:r>
      <w:proofErr w:type="spellEnd"/>
      <w:r>
        <w:t xml:space="preserve"> </w:t>
      </w:r>
      <w:proofErr w:type="spellStart"/>
      <w:r>
        <w:t>financial</w:t>
      </w:r>
      <w:proofErr w:type="spellEnd"/>
      <w:r>
        <w:t xml:space="preserve"> statements is niet voldaan als de opgestelde verslaggeving alleen bestemd is voor de eigenaren die bij het bewind betrokken zijn. Het is ook niet voldoende als de </w:t>
      </w:r>
      <w:proofErr w:type="spellStart"/>
      <w:r>
        <w:t>financial</w:t>
      </w:r>
      <w:proofErr w:type="spellEnd"/>
      <w:r>
        <w:t xml:space="preserve"> statements slechts worden toegepast voor de fiscale verantwoording</w:t>
      </w:r>
      <w:r>
        <w:rPr>
          <w:rStyle w:val="Voetnootmarkering"/>
        </w:rPr>
        <w:footnoteReference w:id="18"/>
      </w:r>
      <w:r>
        <w:t>.</w:t>
      </w:r>
      <w:r w:rsidR="0027637E">
        <w:t xml:space="preserve"> Deze eis bestaat volgens </w:t>
      </w:r>
      <w:r>
        <w:t xml:space="preserve">IFRS SME </w:t>
      </w:r>
      <w:r w:rsidR="0027637E">
        <w:t>uit ‘</w:t>
      </w:r>
      <w:r>
        <w:t>publicatie voor externe gebruikers</w:t>
      </w:r>
      <w:r w:rsidR="0027637E">
        <w:t>’</w:t>
      </w:r>
      <w:r>
        <w:t xml:space="preserve">. Dit omvat onder andere huidige en potentiële investeerders, overheidsinstanties en eigenaren die niet bij het beleid betrokken zijn. </w:t>
      </w:r>
    </w:p>
    <w:p w:rsidR="0027637E" w:rsidRDefault="00780824" w:rsidP="00700FC5">
      <w:pPr>
        <w:spacing w:line="360" w:lineRule="auto"/>
      </w:pPr>
      <w:r>
        <w:t xml:space="preserve">De invalshoek die is gekozen in IFRS SME verschilt dus sterk van de huidige, nationale normen. Ook de Aanbeveling van de Europese Commissie heeft andere criteria. IFRS SME kiest voor een kwalitatieve invulling, tegenover de kwantitatieve normen die gebruikelijk zijn in nationale wetgeving. Uit de Basis </w:t>
      </w:r>
      <w:proofErr w:type="spellStart"/>
      <w:r>
        <w:t>for</w:t>
      </w:r>
      <w:proofErr w:type="spellEnd"/>
      <w:r>
        <w:t xml:space="preserve"> </w:t>
      </w:r>
      <w:proofErr w:type="spellStart"/>
      <w:r>
        <w:t>Conclusions</w:t>
      </w:r>
      <w:proofErr w:type="spellEnd"/>
      <w:r>
        <w:rPr>
          <w:rStyle w:val="Voetnootmarkering"/>
        </w:rPr>
        <w:footnoteReference w:id="19"/>
      </w:r>
      <w:r>
        <w:t xml:space="preserve"> blijkt de reden voor deze structuur. De IASB achtte het niet haalbaar om kwantitatieve criteria op te stellen die bruikbaar zouden zijn in alle landen waarin de standaard gebruikt moet gaan worden. Bovendien meent de IASB dat een invulling op basis van public </w:t>
      </w:r>
      <w:proofErr w:type="spellStart"/>
      <w:r>
        <w:t>accountability</w:t>
      </w:r>
      <w:proofErr w:type="spellEnd"/>
      <w:r>
        <w:t xml:space="preserve"> beter aansluit bij de </w:t>
      </w:r>
      <w:proofErr w:type="spellStart"/>
      <w:r>
        <w:t>principles-based</w:t>
      </w:r>
      <w:proofErr w:type="spellEnd"/>
      <w:r>
        <w:t xml:space="preserve"> aanpak die zij propageert. Voor nationale autoriteiten is het wel mogelijk om kwantitatieve criteria te verbinden aan het gebruik van IFRS SME. </w:t>
      </w:r>
    </w:p>
    <w:p w:rsidR="00780824" w:rsidRDefault="00780824" w:rsidP="00780824">
      <w:pPr>
        <w:spacing w:after="0" w:line="360" w:lineRule="auto"/>
      </w:pPr>
      <w:r>
        <w:t xml:space="preserve">Ook kunnen overheden er voor kiezen om bepaalde ondernemingen, bijvoorbeeld vanwege het grote publieke belang dat zij vertegenwoordigen, toch het volledige </w:t>
      </w:r>
      <w:proofErr w:type="spellStart"/>
      <w:r>
        <w:t>IFRS-pakket</w:t>
      </w:r>
      <w:proofErr w:type="spellEnd"/>
      <w:r>
        <w:t xml:space="preserve"> toe te laten passen in plaats van IFRS SME, ondanks het feit dat zij geen public </w:t>
      </w:r>
      <w:proofErr w:type="spellStart"/>
      <w:r>
        <w:t>accountability</w:t>
      </w:r>
      <w:proofErr w:type="spellEnd"/>
      <w:r>
        <w:t xml:space="preserve"> hebben. Beursgenoteerde ondernemingen die op basis van hun grootte bestempeld kunnen worden als klein of middelgroot kunnen echter niet in aanmerking komen voor toepassing van IFRS SME. Zij zijn gehouden om het volledige </w:t>
      </w:r>
      <w:proofErr w:type="spellStart"/>
      <w:r>
        <w:t>IFRS-stelsel</w:t>
      </w:r>
      <w:proofErr w:type="spellEnd"/>
      <w:r>
        <w:t xml:space="preserve"> toe te passen, ook als nationale lidstaten kwantitatieve criteria verbinden aan IFRS SME waar zij onder zouden vallen. Op het moment dat er sprake is van public </w:t>
      </w:r>
      <w:proofErr w:type="spellStart"/>
      <w:r>
        <w:t>accountability</w:t>
      </w:r>
      <w:proofErr w:type="spellEnd"/>
      <w:r>
        <w:t xml:space="preserve"> komt een onderneming </w:t>
      </w:r>
      <w:r w:rsidRPr="00917527">
        <w:rPr>
          <w:i/>
        </w:rPr>
        <w:t>nooit</w:t>
      </w:r>
      <w:r>
        <w:t xml:space="preserve"> in aanmerking voor toepassing van IFRS SME.</w:t>
      </w:r>
      <w:r>
        <w:rPr>
          <w:rStyle w:val="Voetnootmarkering"/>
        </w:rPr>
        <w:footnoteReference w:id="20"/>
      </w:r>
      <w:r>
        <w:t xml:space="preserve"> </w:t>
      </w:r>
    </w:p>
    <w:p w:rsidR="00780824" w:rsidRPr="00700FC5" w:rsidRDefault="00780824" w:rsidP="00700FC5">
      <w:pPr>
        <w:pStyle w:val="Kop3"/>
        <w:rPr>
          <w:color w:val="auto"/>
        </w:rPr>
      </w:pPr>
      <w:bookmarkStart w:id="14" w:name="_Toc299913153"/>
      <w:r w:rsidRPr="00700FC5">
        <w:rPr>
          <w:color w:val="auto"/>
        </w:rPr>
        <w:t>2.5 Status IFRS SME</w:t>
      </w:r>
      <w:bookmarkEnd w:id="14"/>
    </w:p>
    <w:p w:rsidR="00700FC5" w:rsidRDefault="00780824" w:rsidP="00A17145">
      <w:pPr>
        <w:spacing w:line="360" w:lineRule="auto"/>
      </w:pPr>
      <w:r>
        <w:t xml:space="preserve">De beoogde status van IFRS SME is vergelijkbaar met de status van het volledige pakket IFRS- standaarden. Voor de ondernemingen die in de doelgroep vallen moet een jaarverslag dat is gebaseerd op IFRS SME voldoende inhoud hebben om te voldoen aan de maatschappelijke eisen. Op het moment dat een onderneming aan de eerder beschreven eisen voldoet, behoort zij tot de doelgroep van IFRS SME. </w:t>
      </w:r>
    </w:p>
    <w:p w:rsidR="00780824" w:rsidRDefault="00780824" w:rsidP="00A17145">
      <w:pPr>
        <w:spacing w:line="360" w:lineRule="auto"/>
      </w:pPr>
      <w:r>
        <w:lastRenderedPageBreak/>
        <w:t xml:space="preserve">Gebruik van de IFRS SME richtlijn moet dan leiden tot een goedkeurende verklaring van de accountant, waarna de onderneming aan haar verplichtingen op het gebied van de verslaggeving zou hebben voldaan. Uiteraard moeten de overige, voorgeschreven handelingen ook nog worden verricht, zoals publicatie van het verslag. </w:t>
      </w:r>
    </w:p>
    <w:p w:rsidR="00780824" w:rsidRDefault="00780824" w:rsidP="00A17145">
      <w:pPr>
        <w:spacing w:line="360" w:lineRule="auto"/>
      </w:pPr>
      <w:r>
        <w:t>Op dit moment is het echter nog niet expliciet mogelijk om een jaarrekening op te stellen aan de hand van IFRS SME. Titel 9 van Boek 2 BW geeft in art. 362 BW aan dat de jaarrekening wordt opgesteld volgens normen die in het maatschappelijk verkeer als aanvaardbaar worden beschouwd. Lid 8 van dit artikel maakt het mogelijk om de jaarrekening op te stellen volgens standaarden van de IASB die door de Europese Commissie zijn goedgekeurd. De IFRS SME standaard is nog niet goedgekeurd, dus lid 8 is niet voldoende om toepassing van deze regeling te rechtvaardigen.</w:t>
      </w:r>
    </w:p>
    <w:p w:rsidR="00A17145" w:rsidRDefault="00780824" w:rsidP="00A17145">
      <w:pPr>
        <w:spacing w:line="360" w:lineRule="auto"/>
      </w:pPr>
      <w:r>
        <w:t xml:space="preserve">Het is de vraag of de bepalingen uit IFRS SME al gelden als maatschappelijk aanvaardbare normen. Over het algemeen wordt deze vraag negatief beantwoord. Voor zover de bepalingen in overeenstemming zijn met titel 9 BW is er geen probleem; deze bepalingen zijn toe te passen. </w:t>
      </w:r>
      <w:r w:rsidR="00A17145">
        <w:t>S</w:t>
      </w:r>
      <w:r>
        <w:t>trijdige regels zijn echter formeel niet toepasbaar, aangezien de wet hier geen optie voor open laat.</w:t>
      </w:r>
      <w:r>
        <w:rPr>
          <w:rStyle w:val="Voetnootmarkering"/>
        </w:rPr>
        <w:footnoteReference w:id="21"/>
      </w:r>
      <w:r>
        <w:t xml:space="preserve"> </w:t>
      </w:r>
    </w:p>
    <w:p w:rsidR="00780824" w:rsidRDefault="00780824" w:rsidP="00780824">
      <w:pPr>
        <w:spacing w:after="0" w:line="360" w:lineRule="auto"/>
      </w:pPr>
      <w:r>
        <w:t>Pas op het moment dat de wetgever titel 9 BW aanpast kan IFRS SME volledig toegepast worden. Een andere optie is eerdere goedkeuring van de standaard door de Europese Commissie. Via lid 8 van artikel 2:362 BW kunnen de bepalingen in dat geval toegepast worden zonder aanpassing van titel 9. De Europese Commissie heeft IFRS SME in behandeling genomen. In hoofdstuk zeven wordt teruggekomen op de status van deze procedure.</w:t>
      </w:r>
    </w:p>
    <w:p w:rsidR="00780824" w:rsidRPr="00700FC5" w:rsidRDefault="00780824" w:rsidP="00700FC5">
      <w:pPr>
        <w:pStyle w:val="Kop3"/>
        <w:rPr>
          <w:color w:val="auto"/>
        </w:rPr>
      </w:pPr>
      <w:bookmarkStart w:id="15" w:name="_Toc299913154"/>
      <w:r w:rsidRPr="00700FC5">
        <w:rPr>
          <w:color w:val="auto"/>
        </w:rPr>
        <w:t>2.6 Verwachtingen over draagvlak</w:t>
      </w:r>
      <w:bookmarkEnd w:id="15"/>
    </w:p>
    <w:p w:rsidR="00A17145" w:rsidRDefault="00780824" w:rsidP="00780824">
      <w:pPr>
        <w:spacing w:after="0" w:line="360" w:lineRule="auto"/>
      </w:pPr>
      <w:r>
        <w:t xml:space="preserve">De richtlijnen die uitgebracht worden door de IASB zijn in beginsel niet bindend. Op zichzelf bieden zij geen mogelijkheid tot handhaving door een autoriteit. Pas na implementatie in nationale wetgeving worden zij bindend, de overheid kan vervolgens toezicht houden op naleving. </w:t>
      </w:r>
    </w:p>
    <w:p w:rsidR="00780824" w:rsidRDefault="00780824" w:rsidP="00A17145">
      <w:pPr>
        <w:spacing w:line="360" w:lineRule="auto"/>
      </w:pPr>
      <w:r>
        <w:t>Voor beursgenoteerde vennootschappen in lidstaten van de Europese Unie ligt dit anders. Zij zijn verplicht om, bij het opstellen van de geconsolideerde jaarrekening, full IFRS toe te passen. Dit is bepaald in Verordening 1606/2002 die is goedgekeurd door het Europees Parlement en de Europese Raad.</w:t>
      </w:r>
    </w:p>
    <w:p w:rsidR="00700FC5" w:rsidRDefault="00780824" w:rsidP="00A17145">
      <w:pPr>
        <w:spacing w:line="360" w:lineRule="auto"/>
      </w:pPr>
      <w:r>
        <w:t xml:space="preserve">Aangezien de </w:t>
      </w:r>
      <w:proofErr w:type="spellStart"/>
      <w:r>
        <w:t>IFRS-richtlijnen</w:t>
      </w:r>
      <w:proofErr w:type="spellEnd"/>
      <w:r>
        <w:t xml:space="preserve"> niet </w:t>
      </w:r>
      <w:r w:rsidR="00A17145">
        <w:t>bindend</w:t>
      </w:r>
      <w:r>
        <w:t xml:space="preserve"> zijn zonder tussenkomst van individuele landen of de Europese Commissie is het draagvlak van groot belang. Zonder draagvlak zullen richtlijnen niet ingevoerd worden, en komt toepassing van de standaarden niet op gang. </w:t>
      </w:r>
    </w:p>
    <w:p w:rsidR="00780824" w:rsidRDefault="00780824" w:rsidP="00A17145">
      <w:pPr>
        <w:spacing w:line="360" w:lineRule="auto"/>
      </w:pPr>
      <w:r>
        <w:lastRenderedPageBreak/>
        <w:t>Enkele maanden na de publicatie van IFRS SME heeft de IASB een onderzoek</w:t>
      </w:r>
      <w:r>
        <w:rPr>
          <w:rStyle w:val="Voetnootmarkering"/>
        </w:rPr>
        <w:footnoteReference w:id="22"/>
      </w:r>
      <w:r>
        <w:t xml:space="preserve"> uit laten voeren naar de bereidheid van landen om de standaard in te voeren. Veel opkomende economieën liepen toen voorop in hun wens om over te gaan tot implementatie.</w:t>
      </w:r>
    </w:p>
    <w:p w:rsidR="00780824" w:rsidRDefault="00780824" w:rsidP="00A17145">
      <w:pPr>
        <w:spacing w:line="360" w:lineRule="auto"/>
      </w:pPr>
      <w:r>
        <w:t xml:space="preserve">Voor de kleine ondernemingen in deze landen wordt IFRS SME gezien als een ideale mogelijkheid om toegang te krijgen tot de kapitaalmarkten. Onder deze landen bevonden zich Brazilië en Turkije. Ook het Verenigd Koninkrijk en Singapore zeiden toen binnen drie jaar de standaard verplicht te willen stellen. Deze landen zouden een leidende rol kunnen vervullen, waarna andere landen ook mee kunnen gaan als de ervaringen goed zijn. In Brazilië en Singapore is gebruik inmiddels toegestaan, in het Verenigd Koninkrijk is het invoeringsproces gestart. Ook de Verenigde Staten antwoordden in dit onderzoek positief over invoering van de standaard, zij willen gebruik ervan toestaan. Op dit moment is gebruik in de Verenigde Staten niet verplicht, maar wel toegestaan voor private </w:t>
      </w:r>
      <w:proofErr w:type="spellStart"/>
      <w:r>
        <w:t>companies</w:t>
      </w:r>
      <w:proofErr w:type="spellEnd"/>
      <w:r>
        <w:t>.</w:t>
      </w:r>
      <w:r>
        <w:rPr>
          <w:rStyle w:val="Voetnootmarkering"/>
        </w:rPr>
        <w:footnoteReference w:id="23"/>
      </w:r>
      <w:r>
        <w:t xml:space="preserve">  </w:t>
      </w:r>
    </w:p>
    <w:p w:rsidR="00780824" w:rsidRDefault="00780824" w:rsidP="00780824">
      <w:pPr>
        <w:spacing w:after="0" w:line="360" w:lineRule="auto"/>
      </w:pPr>
      <w:r>
        <w:t xml:space="preserve">Veel Europese landen, onder leiding van Frankrijk en Duitsland, waren echter sceptisch over het toestaan van IFRS SME. Veel van deze landen hebben een fiscaal systeem dat sterk is afgestemd op de lokale </w:t>
      </w:r>
      <w:proofErr w:type="spellStart"/>
      <w:r>
        <w:t>verslaggevingsstandaarden</w:t>
      </w:r>
      <w:proofErr w:type="spellEnd"/>
      <w:r>
        <w:t xml:space="preserve">, waardoor het toestaan van IFRS SME tot aanpassingsproblemen zou leiden. Het fiscale systeem is in deze landen afhankelijk van de lokale regelgeving. Adoptie van IFRS SME zou leiden tot andere resultaten, en dus een andere belastingopbrengst. Om dit probleem op te vangen moet het fiscale systeem aangepast worden, voordat zonder problemen overgestapt kan worden op gebruik van IFRS SME .Uit het onderzoek van PwC blijkt dat Frankrijk ook eind 2010 nog geen plannen had om IFRS SME in te voeren, op dit moment is gebruik er van nog verboden, net als in Duitsland en Italië. In Spanje en Nederland is er discussie over het invoeren van IFRS SME, maar ook hier is nog </w:t>
      </w:r>
      <w:r w:rsidRPr="000D3CDC">
        <w:rPr>
          <w:i/>
        </w:rPr>
        <w:t>geen</w:t>
      </w:r>
      <w:r>
        <w:t xml:space="preserve"> zekerheid over het slagen van het project. De verdeeldheid binnen Europa komt ook terug in het goedkeuringsproces bij de Europese Commissie, waarop nog wordt teruggekomen in hoofdstuk zes. Ook een uiteenzetting van standpunten komt daar aan de orde. </w:t>
      </w:r>
    </w:p>
    <w:p w:rsidR="00780824" w:rsidRPr="00700FC5" w:rsidRDefault="00780824" w:rsidP="00700FC5">
      <w:pPr>
        <w:pStyle w:val="Kop3"/>
        <w:rPr>
          <w:color w:val="auto"/>
        </w:rPr>
      </w:pPr>
      <w:bookmarkStart w:id="16" w:name="_Toc299913155"/>
      <w:r w:rsidRPr="00700FC5">
        <w:rPr>
          <w:color w:val="auto"/>
        </w:rPr>
        <w:t>2.7 Conclusie</w:t>
      </w:r>
      <w:bookmarkEnd w:id="16"/>
    </w:p>
    <w:p w:rsidR="00780824" w:rsidRDefault="00780824" w:rsidP="00A17145">
      <w:pPr>
        <w:spacing w:line="360" w:lineRule="auto"/>
      </w:pPr>
      <w:r>
        <w:t xml:space="preserve">Met de informatie die in dit hoofdstuk is gepresenteerd, is het mogelijk om deelvraag 1 te beantwoorden, het is duidelijk geworden wat het project IFRS SME inhoudt. </w:t>
      </w:r>
    </w:p>
    <w:p w:rsidR="00700FC5" w:rsidRDefault="00780824" w:rsidP="00A17145">
      <w:pPr>
        <w:spacing w:line="360" w:lineRule="auto"/>
      </w:pPr>
      <w:r>
        <w:t xml:space="preserve">IFRS SME is een standaard die uitgebracht is door de IFRS Foundation. De standaard bestaat uit een compleet pakket aan regelgeving, specifiek gericht op de kleine en middelgrote ondernemingen. </w:t>
      </w:r>
    </w:p>
    <w:p w:rsidR="00780824" w:rsidRDefault="00780824" w:rsidP="00A17145">
      <w:pPr>
        <w:spacing w:line="360" w:lineRule="auto"/>
      </w:pPr>
      <w:r>
        <w:lastRenderedPageBreak/>
        <w:t xml:space="preserve">De doelgroep is vastgesteld op ondernemingen zonder public </w:t>
      </w:r>
      <w:proofErr w:type="spellStart"/>
      <w:r>
        <w:t>accountability</w:t>
      </w:r>
      <w:proofErr w:type="spellEnd"/>
      <w:r>
        <w:t xml:space="preserve">, die wel </w:t>
      </w:r>
      <w:proofErr w:type="spellStart"/>
      <w:r>
        <w:t>general</w:t>
      </w:r>
      <w:proofErr w:type="spellEnd"/>
      <w:r>
        <w:t xml:space="preserve"> </w:t>
      </w:r>
      <w:proofErr w:type="spellStart"/>
      <w:r>
        <w:t>purpose</w:t>
      </w:r>
      <w:proofErr w:type="spellEnd"/>
      <w:r>
        <w:t xml:space="preserve"> </w:t>
      </w:r>
      <w:proofErr w:type="spellStart"/>
      <w:r>
        <w:t>financial</w:t>
      </w:r>
      <w:proofErr w:type="spellEnd"/>
      <w:r>
        <w:t xml:space="preserve"> statements publiceren voor externe gebruikers. Deze criteria wijken sterk af van de kwantitatieve normen die in veel landen bepalen wanneer er sprake is van een kleine of middelgrote onderneming. </w:t>
      </w:r>
    </w:p>
    <w:p w:rsidR="00780824" w:rsidRDefault="00780824" w:rsidP="00A17145">
      <w:pPr>
        <w:spacing w:line="360" w:lineRule="auto"/>
      </w:pPr>
      <w:r>
        <w:t xml:space="preserve">De IASB heeft voor deze optie gekozen omdat het vrijwel onmogelijk is om kwantitatieve normen op te stellen die bruikbaar zijn voor alle landen waarin de standaard toegepast moet gaan worden. De standaard is gecreëerd met het oog op de verslaggeving van </w:t>
      </w:r>
      <w:proofErr w:type="spellStart"/>
      <w:r>
        <w:t>Small</w:t>
      </w:r>
      <w:proofErr w:type="spellEnd"/>
      <w:r>
        <w:t xml:space="preserve"> and </w:t>
      </w:r>
      <w:proofErr w:type="spellStart"/>
      <w:r>
        <w:t>Medium-sized</w:t>
      </w:r>
      <w:proofErr w:type="spellEnd"/>
      <w:r>
        <w:t xml:space="preserve"> </w:t>
      </w:r>
      <w:proofErr w:type="spellStart"/>
      <w:r>
        <w:t>Entities</w:t>
      </w:r>
      <w:proofErr w:type="spellEnd"/>
      <w:r>
        <w:t xml:space="preserve">. Na goedkeuring door nationale autoriteiten, of de Europese Commissie voor lidstaten van de Europese Unie, mogen ondernemingen binnen deze landen de standaard toepassen. </w:t>
      </w:r>
    </w:p>
    <w:p w:rsidR="00780824" w:rsidRDefault="00780824" w:rsidP="00A17145">
      <w:pPr>
        <w:spacing w:line="360" w:lineRule="auto"/>
      </w:pPr>
      <w:r>
        <w:t>De standaarden van de IFRS Foundation hebben namelijk geen bindende kracht voordat zij uitdrukkelijk zijn toegestaan. De jaarrekening die de ondernemingen o</w:t>
      </w:r>
      <w:r w:rsidR="00AB43E7">
        <w:t xml:space="preserve">pstellen heeft, na goedkeuring van de standaard en </w:t>
      </w:r>
      <w:r>
        <w:t xml:space="preserve">bij een juiste toepassing </w:t>
      </w:r>
      <w:r w:rsidR="00AB43E7">
        <w:t>ervan</w:t>
      </w:r>
      <w:r>
        <w:t xml:space="preserve">, voldoende inhoud om te voldoen aan de maatschappelijke eisen die gesteld worden aan de verslaggeving. Op dit moment is toepassing nog niet mogelijk in Nederland. De Europese Commissie heeft de standaard in behandeling genomen, het proces dat voorafgaat aan eventuele goedkeuring is gestart. Besproken is dat het draagvlak niet in alle landen even groot is. Veel opkomende economieën zien toepassing van IFRS SME wel zitten, net als het Verenigd Koninkrijk en de Verenigde Staten, terwijl Europese landen als Frankrijk en Duitsland geen invoeringsplannen hebben. De inhoudelijke bepalingen van de standaard zijn niet in dit hoofdstuk besproken, dit gebeurt in hoofdstuk vier. </w:t>
      </w:r>
    </w:p>
    <w:p w:rsidR="00780824" w:rsidRDefault="00780824" w:rsidP="00780824">
      <w:pPr>
        <w:spacing w:after="0" w:line="360" w:lineRule="auto"/>
      </w:pPr>
      <w:r>
        <w:t xml:space="preserve">De doelgroep van het project is besproken, net als de status van de standaard. Ook is een korte beschrijving gegeven van de organisatie achter IFRS SME. In het volgende hoofdstuk zal besproken worden hoe IFRS SME tot stand is gekomen. Dit is van belang, omdat kennis van de motieven en belangen die zijn meegenomen in het proces van totstandkoming leidt tot een beter begrip van de regelgeving. </w:t>
      </w:r>
    </w:p>
    <w:p w:rsidR="00780824" w:rsidRDefault="00780824" w:rsidP="00780824">
      <w:pPr>
        <w:spacing w:after="0" w:line="360" w:lineRule="auto"/>
      </w:pPr>
    </w:p>
    <w:p w:rsidR="00780824" w:rsidRPr="00CE71F0" w:rsidRDefault="00780824" w:rsidP="00780824">
      <w:pPr>
        <w:spacing w:after="0" w:line="360" w:lineRule="auto"/>
      </w:pPr>
    </w:p>
    <w:p w:rsidR="00780824" w:rsidRPr="0061521B" w:rsidRDefault="00780824" w:rsidP="00780824">
      <w:pPr>
        <w:spacing w:after="0" w:line="360" w:lineRule="auto"/>
        <w:rPr>
          <w:color w:val="FF0000"/>
        </w:rPr>
      </w:pPr>
    </w:p>
    <w:p w:rsidR="00700FC5" w:rsidRDefault="00700FC5">
      <w:pPr>
        <w:rPr>
          <w:b/>
        </w:rPr>
      </w:pPr>
      <w:r>
        <w:rPr>
          <w:b/>
        </w:rPr>
        <w:br w:type="page"/>
      </w:r>
    </w:p>
    <w:p w:rsidR="00780824" w:rsidRPr="00700FC5" w:rsidRDefault="00780824" w:rsidP="00700FC5">
      <w:pPr>
        <w:pStyle w:val="Kop2"/>
        <w:rPr>
          <w:color w:val="auto"/>
        </w:rPr>
      </w:pPr>
      <w:bookmarkStart w:id="17" w:name="_Toc299913156"/>
      <w:r w:rsidRPr="00700FC5">
        <w:rPr>
          <w:color w:val="auto"/>
        </w:rPr>
        <w:lastRenderedPageBreak/>
        <w:t>Hoofdstuk 3 – Totstandkoming IFRS SME standaard</w:t>
      </w:r>
      <w:bookmarkEnd w:id="17"/>
    </w:p>
    <w:p w:rsidR="00780824" w:rsidRPr="00700FC5" w:rsidRDefault="00780824" w:rsidP="00700FC5">
      <w:pPr>
        <w:pStyle w:val="Kop3"/>
        <w:rPr>
          <w:color w:val="auto"/>
        </w:rPr>
      </w:pPr>
      <w:bookmarkStart w:id="18" w:name="_Toc299913157"/>
      <w:r w:rsidRPr="00700FC5">
        <w:rPr>
          <w:color w:val="auto"/>
        </w:rPr>
        <w:t>3.1 Inleiding</w:t>
      </w:r>
      <w:bookmarkEnd w:id="18"/>
      <w:r w:rsidRPr="00700FC5">
        <w:rPr>
          <w:color w:val="auto"/>
        </w:rPr>
        <w:t xml:space="preserve"> </w:t>
      </w:r>
    </w:p>
    <w:p w:rsidR="00780824" w:rsidRPr="00620F88" w:rsidRDefault="00780824" w:rsidP="00780824">
      <w:pPr>
        <w:spacing w:line="360" w:lineRule="auto"/>
        <w:rPr>
          <w:i/>
        </w:rPr>
      </w:pPr>
      <w:r w:rsidRPr="00620F88">
        <w:rPr>
          <w:i/>
        </w:rPr>
        <w:t>‘Wetten zijn als worstjes. Je kunt maar beter niet zien hoe ze gemaakt zijn.’</w:t>
      </w:r>
      <w:r w:rsidRPr="00620F88">
        <w:rPr>
          <w:rStyle w:val="Voetnootmarkering"/>
        </w:rPr>
        <w:footnoteReference w:id="24"/>
      </w:r>
    </w:p>
    <w:p w:rsidR="00780824" w:rsidRPr="00620F88" w:rsidRDefault="00780824" w:rsidP="00780824">
      <w:pPr>
        <w:spacing w:line="360" w:lineRule="auto"/>
      </w:pPr>
      <w:r w:rsidRPr="00620F88">
        <w:t>In tegenstelling tot de mening van minister Donner</w:t>
      </w:r>
      <w:r w:rsidRPr="00620F88">
        <w:rPr>
          <w:rStyle w:val="Voetnootmarkering"/>
        </w:rPr>
        <w:footnoteReference w:id="25"/>
      </w:r>
      <w:r w:rsidRPr="00620F88">
        <w:t xml:space="preserve"> is kennis van de totstandkoming benodigd voor een juist, inhoudelijk begrip van regelgeving. Zonder informatie over gemaakte </w:t>
      </w:r>
      <w:r>
        <w:t xml:space="preserve">belangenafwegingen </w:t>
      </w:r>
      <w:r w:rsidRPr="00620F88">
        <w:t xml:space="preserve"> en kennis van gesloten compromissen</w:t>
      </w:r>
      <w:r>
        <w:t xml:space="preserve"> die tot het akkoord geleid hebben, </w:t>
      </w:r>
      <w:r w:rsidRPr="00620F88">
        <w:t xml:space="preserve">is het niet mogelijk om het eindproduct te beoordelen. </w:t>
      </w:r>
    </w:p>
    <w:p w:rsidR="00780824" w:rsidRPr="00620F88" w:rsidRDefault="00780824" w:rsidP="00780824">
      <w:pPr>
        <w:spacing w:line="360" w:lineRule="auto"/>
      </w:pPr>
      <w:r w:rsidRPr="00620F88">
        <w:t xml:space="preserve">In dit hoofdstuk wordt het </w:t>
      </w:r>
      <w:proofErr w:type="spellStart"/>
      <w:r w:rsidRPr="00620F88">
        <w:t>totstandkomingsproces</w:t>
      </w:r>
      <w:proofErr w:type="spellEnd"/>
      <w:r w:rsidRPr="00620F88">
        <w:t xml:space="preserve"> van een </w:t>
      </w:r>
      <w:proofErr w:type="spellStart"/>
      <w:r w:rsidRPr="00620F88">
        <w:t>IFRS-standaard</w:t>
      </w:r>
      <w:proofErr w:type="spellEnd"/>
      <w:r w:rsidRPr="00620F88">
        <w:t xml:space="preserve"> uiteengezet. Dit gebeurt aan de hand van de totstandkoming van de standaard voor </w:t>
      </w:r>
      <w:proofErr w:type="spellStart"/>
      <w:r w:rsidRPr="00620F88">
        <w:t>small</w:t>
      </w:r>
      <w:proofErr w:type="spellEnd"/>
      <w:r w:rsidRPr="00620F88">
        <w:t xml:space="preserve"> and </w:t>
      </w:r>
      <w:proofErr w:type="spellStart"/>
      <w:r w:rsidRPr="00620F88">
        <w:t>medium-sized</w:t>
      </w:r>
      <w:proofErr w:type="spellEnd"/>
      <w:r w:rsidRPr="00620F88">
        <w:t xml:space="preserve"> </w:t>
      </w:r>
      <w:proofErr w:type="spellStart"/>
      <w:r w:rsidRPr="00620F88">
        <w:t>entities</w:t>
      </w:r>
      <w:proofErr w:type="spellEnd"/>
      <w:r w:rsidRPr="00620F88">
        <w:t xml:space="preserve">. Hierbij komt niet alleen het formele proces aan de orde, maar ook de gedachte achter het project. Een belangrijke rol is weggelegd voor de motieven die hebben geleid tot het ontwikkelen van de standaard. Aan de hand van deze doelen kan gekeken worden naar de impact waarop gehoopt werd bij de start van het project. </w:t>
      </w:r>
    </w:p>
    <w:p w:rsidR="00780824" w:rsidRPr="00620F88" w:rsidRDefault="00780824" w:rsidP="00780824">
      <w:pPr>
        <w:spacing w:line="360" w:lineRule="auto"/>
        <w:rPr>
          <w:i/>
        </w:rPr>
      </w:pPr>
      <w:r w:rsidRPr="00620F88">
        <w:t>De informatie die in dit hoofdstuk wordt gepresenteerd</w:t>
      </w:r>
      <w:r>
        <w:t>,</w:t>
      </w:r>
      <w:r w:rsidRPr="00620F88">
        <w:t xml:space="preserve"> is van belang voor beantw</w:t>
      </w:r>
      <w:r>
        <w:t>oording van de tweede deelvraag:</w:t>
      </w:r>
      <w:r w:rsidRPr="00620F88">
        <w:t xml:space="preserve"> </w:t>
      </w:r>
      <w:r w:rsidRPr="00620F88">
        <w:rPr>
          <w:i/>
        </w:rPr>
        <w:t>Hoe is IFRS SME tot stand gekomen?</w:t>
      </w:r>
    </w:p>
    <w:p w:rsidR="00780824" w:rsidRPr="00620F88" w:rsidRDefault="00780824" w:rsidP="00780824">
      <w:pPr>
        <w:spacing w:line="360" w:lineRule="auto"/>
      </w:pPr>
      <w:r w:rsidRPr="00620F88">
        <w:t xml:space="preserve">Net als het antwoord op de eerste deelvraag, is ook dit onderdeel van inleidend belang voor beantwoording van de hoofdvraag. De gevolgen voor ondernemingen uit de doelgroep kunnen afgezet worden tegen de beoogde gevolgen. Bovendien is het mogelijk om te beoordelen of de gestelde doelen zijn bereikt. </w:t>
      </w:r>
    </w:p>
    <w:p w:rsidR="00780824" w:rsidRPr="00700FC5" w:rsidRDefault="00780824" w:rsidP="00700FC5">
      <w:pPr>
        <w:pStyle w:val="Kop3"/>
        <w:rPr>
          <w:color w:val="auto"/>
        </w:rPr>
      </w:pPr>
      <w:bookmarkStart w:id="19" w:name="_Toc299913158"/>
      <w:r w:rsidRPr="00700FC5">
        <w:rPr>
          <w:color w:val="auto"/>
        </w:rPr>
        <w:t>3.2 Ontwikkelingsproces</w:t>
      </w:r>
      <w:bookmarkEnd w:id="19"/>
      <w:r w:rsidRPr="00700FC5">
        <w:rPr>
          <w:color w:val="auto"/>
        </w:rPr>
        <w:t xml:space="preserve"> </w:t>
      </w:r>
    </w:p>
    <w:p w:rsidR="00780824" w:rsidRPr="00620F88" w:rsidRDefault="00780824" w:rsidP="00780824">
      <w:pPr>
        <w:spacing w:line="360" w:lineRule="auto"/>
      </w:pPr>
      <w:r w:rsidRPr="00620F88">
        <w:t>Standaarden van de IFRS Foundation worden ontwikkeld volgens een vast proces, genaamd het “</w:t>
      </w:r>
      <w:proofErr w:type="spellStart"/>
      <w:r w:rsidRPr="00620F88">
        <w:t>due</w:t>
      </w:r>
      <w:proofErr w:type="spellEnd"/>
      <w:r w:rsidRPr="00620F88">
        <w:t xml:space="preserve"> </w:t>
      </w:r>
      <w:proofErr w:type="spellStart"/>
      <w:r w:rsidRPr="00620F88">
        <w:t>process</w:t>
      </w:r>
      <w:proofErr w:type="spellEnd"/>
      <w:r w:rsidRPr="00620F88">
        <w:t>”</w:t>
      </w:r>
      <w:r>
        <w:rPr>
          <w:rStyle w:val="Voetnootmarkering"/>
        </w:rPr>
        <w:footnoteReference w:id="26"/>
      </w:r>
      <w:r w:rsidRPr="00620F88">
        <w:t xml:space="preserve">. Hierbij vindt internationaal overleg plaats, met ruimte voor inbreng van alle </w:t>
      </w:r>
      <w:r>
        <w:t>g</w:t>
      </w:r>
      <w:r w:rsidRPr="00620F88">
        <w:t xml:space="preserve">eïnteresseerde partijen. </w:t>
      </w:r>
      <w:r w:rsidR="00700FC5">
        <w:t>De mogelijkheden tot inspraak worden door veel belanghebbenden benut, wat zorgt voor een proces met uitvoerige beschouwingen.</w:t>
      </w:r>
    </w:p>
    <w:p w:rsidR="00780824" w:rsidRPr="00620F88" w:rsidRDefault="00780824" w:rsidP="00780824">
      <w:pPr>
        <w:spacing w:line="360" w:lineRule="auto"/>
      </w:pPr>
      <w:r w:rsidRPr="00620F88">
        <w:t xml:space="preserve">Het proces omvat zes stadia, die </w:t>
      </w:r>
      <w:r>
        <w:t>hierna</w:t>
      </w:r>
      <w:r w:rsidRPr="00620F88">
        <w:t xml:space="preserve"> kort worden omschreven. </w:t>
      </w:r>
    </w:p>
    <w:p w:rsidR="00700FC5" w:rsidRDefault="00700FC5" w:rsidP="00780824">
      <w:pPr>
        <w:spacing w:line="360" w:lineRule="auto"/>
        <w:rPr>
          <w:i/>
        </w:rPr>
      </w:pPr>
    </w:p>
    <w:p w:rsidR="00780824" w:rsidRPr="00620F88" w:rsidRDefault="00780824" w:rsidP="00780824">
      <w:pPr>
        <w:spacing w:line="360" w:lineRule="auto"/>
        <w:rPr>
          <w:i/>
        </w:rPr>
      </w:pPr>
      <w:r w:rsidRPr="00620F88">
        <w:rPr>
          <w:i/>
        </w:rPr>
        <w:lastRenderedPageBreak/>
        <w:t>3.2.1 Setting the Agenda</w:t>
      </w:r>
      <w:r>
        <w:rPr>
          <w:rStyle w:val="Voetnootmarkering"/>
          <w:i/>
        </w:rPr>
        <w:footnoteReference w:id="27"/>
      </w:r>
    </w:p>
    <w:p w:rsidR="00780824" w:rsidRDefault="00780824" w:rsidP="00780824">
      <w:pPr>
        <w:spacing w:line="360" w:lineRule="auto"/>
      </w:pPr>
      <w:r w:rsidRPr="00620F88">
        <w:t xml:space="preserve">De IASB </w:t>
      </w:r>
      <w:r>
        <w:t xml:space="preserve">probeert te voldoen aan de toenemende vraag naar informatie, die van belang is voor gebruikers van </w:t>
      </w:r>
      <w:proofErr w:type="spellStart"/>
      <w:r>
        <w:t>financial</w:t>
      </w:r>
      <w:proofErr w:type="spellEnd"/>
      <w:r>
        <w:t xml:space="preserve"> statements. Gebruikers stellen steeds zwaardere eisen aan de gepresenteerde informatie in jaarverslagen, waar de IASB op inspeelt met het ontwikkelen van standaarden voor de verslaggeving.</w:t>
      </w:r>
    </w:p>
    <w:p w:rsidR="00780824" w:rsidRDefault="00780824" w:rsidP="00780824">
      <w:pPr>
        <w:spacing w:line="360" w:lineRule="auto"/>
      </w:pPr>
      <w:r>
        <w:t xml:space="preserve">Om te identificeren welke onderwerpen op de agenda gezet moeten worden, kijkt de IASB vooral naar de behoeften van investeerders. Er vindt een afweging plaats aan de hand van relevantie voor gebruikers en betrouwbaarheid van informatie die kan worden gepresenteerd. De IASB onderzoekt niet alleen wat er op de agenda gezet moet worden, maar neemt ook onderwerpen over uit verzoeken van andere partijen. In dit stadium wordt de agenda bepaald. </w:t>
      </w:r>
    </w:p>
    <w:p w:rsidR="00780824" w:rsidRDefault="00780824" w:rsidP="00780824">
      <w:pPr>
        <w:spacing w:line="360" w:lineRule="auto"/>
        <w:rPr>
          <w:i/>
        </w:rPr>
      </w:pPr>
      <w:r>
        <w:rPr>
          <w:i/>
        </w:rPr>
        <w:t>3.2.2 Project planning</w:t>
      </w:r>
      <w:r>
        <w:rPr>
          <w:rStyle w:val="Voetnootmarkering"/>
          <w:i/>
        </w:rPr>
        <w:footnoteReference w:id="28"/>
      </w:r>
    </w:p>
    <w:p w:rsidR="00780824" w:rsidRDefault="00780824" w:rsidP="00780824">
      <w:pPr>
        <w:spacing w:line="360" w:lineRule="auto"/>
      </w:pPr>
      <w:r>
        <w:t xml:space="preserve">Het volgende stadium is gericht op de inrichting van het project. Nadat is bepaald welke onderwerpen op de agenda worden geplaatst, wordt door de IASB bepaald of zij het project zelf uitvoert, of dat er samenwerking wordt gezocht met een andere instantie. Er wordt een projectteam opgezet, dat een plan maakt over het vervolgtraject. </w:t>
      </w:r>
    </w:p>
    <w:p w:rsidR="00780824" w:rsidRPr="00983758" w:rsidRDefault="00780824" w:rsidP="00780824">
      <w:pPr>
        <w:spacing w:line="360" w:lineRule="auto"/>
        <w:rPr>
          <w:i/>
          <w:lang w:val="en-US"/>
        </w:rPr>
      </w:pPr>
      <w:r w:rsidRPr="00983758">
        <w:rPr>
          <w:i/>
          <w:lang w:val="en-US"/>
        </w:rPr>
        <w:t>3.2.3 Developing and publishing the discussion paper</w:t>
      </w:r>
      <w:r>
        <w:rPr>
          <w:rStyle w:val="Voetnootmarkering"/>
          <w:i/>
          <w:lang w:val="en-US"/>
        </w:rPr>
        <w:footnoteReference w:id="29"/>
      </w:r>
    </w:p>
    <w:p w:rsidR="00780824" w:rsidRDefault="00780824" w:rsidP="00780824">
      <w:pPr>
        <w:spacing w:line="360" w:lineRule="auto"/>
      </w:pPr>
      <w:r>
        <w:t>D</w:t>
      </w:r>
      <w:r w:rsidRPr="00576F22">
        <w:t xml:space="preserve">e IASB publiceert in het algemeen </w:t>
      </w:r>
      <w:r>
        <w:t xml:space="preserve">een </w:t>
      </w:r>
      <w:proofErr w:type="spellStart"/>
      <w:r>
        <w:t>discussion</w:t>
      </w:r>
      <w:proofErr w:type="spellEnd"/>
      <w:r>
        <w:t xml:space="preserve"> paper over het aanhangig gemaakte onderwerp. In dit document wordt het onderwerp uitgelegd, en wordt verklaard wat de beweegredenen zijn om over te gaan tot ontwikkeling van een standaard. </w:t>
      </w:r>
    </w:p>
    <w:p w:rsidR="00780824" w:rsidRPr="00576F22" w:rsidRDefault="00780824" w:rsidP="00780824">
      <w:pPr>
        <w:spacing w:line="360" w:lineRule="auto"/>
        <w:rPr>
          <w:i/>
        </w:rPr>
      </w:pPr>
      <w:r>
        <w:t xml:space="preserve">Verder omvat een </w:t>
      </w:r>
      <w:proofErr w:type="spellStart"/>
      <w:r>
        <w:t>discussion</w:t>
      </w:r>
      <w:proofErr w:type="spellEnd"/>
      <w:r>
        <w:t xml:space="preserve"> paper vaak de mogelijke wijzen van aanpak en een uiteenzetting van voorlopige meningen van de auteurs. Ook wordt de </w:t>
      </w:r>
      <w:proofErr w:type="spellStart"/>
      <w:r>
        <w:t>discussion</w:t>
      </w:r>
      <w:proofErr w:type="spellEnd"/>
      <w:r>
        <w:t xml:space="preserve"> paper aangegrepen om lezers uit te nodigen te reageren. </w:t>
      </w:r>
    </w:p>
    <w:p w:rsidR="00780824" w:rsidRPr="00466CFC" w:rsidRDefault="00780824" w:rsidP="00780824">
      <w:pPr>
        <w:spacing w:line="360" w:lineRule="auto"/>
        <w:rPr>
          <w:rFonts w:cs="Calibri"/>
          <w:i/>
          <w:lang w:val="en-US"/>
        </w:rPr>
      </w:pPr>
      <w:r w:rsidRPr="00466CFC">
        <w:rPr>
          <w:rFonts w:cs="Calibri"/>
          <w:i/>
          <w:lang w:val="en-US"/>
        </w:rPr>
        <w:t>3.2.4 Developing and publishing the exposure draft</w:t>
      </w:r>
      <w:r>
        <w:rPr>
          <w:rStyle w:val="Voetnootmarkering"/>
          <w:i/>
          <w:lang w:val="en-US"/>
        </w:rPr>
        <w:footnoteReference w:id="30"/>
      </w:r>
    </w:p>
    <w:p w:rsidR="00780824" w:rsidRDefault="00780824" w:rsidP="00780824">
      <w:pPr>
        <w:spacing w:before="100" w:beforeAutospacing="1" w:after="100" w:afterAutospacing="1" w:line="360" w:lineRule="auto"/>
        <w:rPr>
          <w:rFonts w:cs="Calibri"/>
          <w:lang w:eastAsia="nl-NL"/>
        </w:rPr>
      </w:pPr>
      <w:r>
        <w:rPr>
          <w:rFonts w:cs="Calibri"/>
          <w:lang w:eastAsia="nl-NL"/>
        </w:rPr>
        <w:t>Een</w:t>
      </w:r>
      <w:r w:rsidRPr="00466CFC">
        <w:rPr>
          <w:rFonts w:cs="Calibri"/>
          <w:lang w:eastAsia="nl-NL"/>
        </w:rPr>
        <w:t xml:space="preserve"> </w:t>
      </w:r>
      <w:proofErr w:type="spellStart"/>
      <w:r w:rsidRPr="00466CFC">
        <w:rPr>
          <w:rFonts w:cs="Calibri"/>
          <w:lang w:eastAsia="nl-NL"/>
        </w:rPr>
        <w:t>exposure</w:t>
      </w:r>
      <w:proofErr w:type="spellEnd"/>
      <w:r w:rsidRPr="00466CFC">
        <w:rPr>
          <w:rFonts w:cs="Calibri"/>
          <w:lang w:eastAsia="nl-NL"/>
        </w:rPr>
        <w:t xml:space="preserve"> </w:t>
      </w:r>
      <w:proofErr w:type="spellStart"/>
      <w:r w:rsidRPr="00466CFC">
        <w:rPr>
          <w:rFonts w:cs="Calibri"/>
          <w:lang w:eastAsia="nl-NL"/>
        </w:rPr>
        <w:t>draft</w:t>
      </w:r>
      <w:proofErr w:type="spellEnd"/>
      <w:r w:rsidRPr="00466CFC">
        <w:rPr>
          <w:rFonts w:cs="Calibri"/>
          <w:lang w:eastAsia="nl-NL"/>
        </w:rPr>
        <w:t xml:space="preserve"> is een verplicht stadium in het </w:t>
      </w:r>
      <w:proofErr w:type="spellStart"/>
      <w:r w:rsidRPr="00466CFC">
        <w:rPr>
          <w:rFonts w:cs="Calibri"/>
          <w:lang w:eastAsia="nl-NL"/>
        </w:rPr>
        <w:t>totstandkoming</w:t>
      </w:r>
      <w:r>
        <w:rPr>
          <w:rFonts w:cs="Calibri"/>
          <w:lang w:eastAsia="nl-NL"/>
        </w:rPr>
        <w:t>sproces</w:t>
      </w:r>
      <w:proofErr w:type="spellEnd"/>
      <w:r>
        <w:rPr>
          <w:rFonts w:cs="Calibri"/>
          <w:lang w:eastAsia="nl-NL"/>
        </w:rPr>
        <w:t xml:space="preserve"> van een </w:t>
      </w:r>
      <w:proofErr w:type="spellStart"/>
      <w:r>
        <w:rPr>
          <w:rFonts w:cs="Calibri"/>
          <w:lang w:eastAsia="nl-NL"/>
        </w:rPr>
        <w:t>IFRS-standaard</w:t>
      </w:r>
      <w:proofErr w:type="spellEnd"/>
      <w:r>
        <w:rPr>
          <w:rFonts w:cs="Calibri"/>
          <w:lang w:eastAsia="nl-NL"/>
        </w:rPr>
        <w:t xml:space="preserve">, aangezien dit document de belangrijkste bron van informatieverschaffing is voor het publiek. Waar in de </w:t>
      </w:r>
      <w:proofErr w:type="spellStart"/>
      <w:r>
        <w:rPr>
          <w:rFonts w:cs="Calibri"/>
          <w:lang w:eastAsia="nl-NL"/>
        </w:rPr>
        <w:t>discussion</w:t>
      </w:r>
      <w:proofErr w:type="spellEnd"/>
      <w:r>
        <w:rPr>
          <w:rFonts w:cs="Calibri"/>
          <w:lang w:eastAsia="nl-NL"/>
        </w:rPr>
        <w:t xml:space="preserve"> paper nog sprake is van weergave van de mogelijke oplossingen, wordt in het </w:t>
      </w:r>
      <w:proofErr w:type="spellStart"/>
      <w:r>
        <w:rPr>
          <w:rFonts w:cs="Calibri"/>
          <w:lang w:eastAsia="nl-NL"/>
        </w:rPr>
        <w:t>exposure</w:t>
      </w:r>
      <w:proofErr w:type="spellEnd"/>
      <w:r>
        <w:rPr>
          <w:rFonts w:cs="Calibri"/>
          <w:lang w:eastAsia="nl-NL"/>
        </w:rPr>
        <w:t xml:space="preserve"> </w:t>
      </w:r>
      <w:proofErr w:type="spellStart"/>
      <w:r>
        <w:rPr>
          <w:rFonts w:cs="Calibri"/>
          <w:lang w:eastAsia="nl-NL"/>
        </w:rPr>
        <w:t>draft</w:t>
      </w:r>
      <w:proofErr w:type="spellEnd"/>
      <w:r>
        <w:rPr>
          <w:rFonts w:cs="Calibri"/>
          <w:lang w:eastAsia="nl-NL"/>
        </w:rPr>
        <w:t xml:space="preserve"> één specifiek voorstel uitgewerkt tot een mogelijke standaard. </w:t>
      </w:r>
    </w:p>
    <w:p w:rsidR="00780824" w:rsidRDefault="00780824" w:rsidP="00780824">
      <w:pPr>
        <w:spacing w:before="100" w:beforeAutospacing="1" w:after="100" w:afterAutospacing="1" w:line="360" w:lineRule="auto"/>
        <w:rPr>
          <w:rFonts w:cs="Calibri"/>
          <w:lang w:eastAsia="nl-NL"/>
        </w:rPr>
      </w:pPr>
      <w:r>
        <w:rPr>
          <w:rFonts w:cs="Calibri"/>
          <w:lang w:eastAsia="nl-NL"/>
        </w:rPr>
        <w:lastRenderedPageBreak/>
        <w:t xml:space="preserve">De keuze wordt gebaseerd op onderzoek door de IASB en haar staf, op aanbevelingen en suggesties van adviesorganen en op de commentaren die zijn binnengekomen op de </w:t>
      </w:r>
      <w:proofErr w:type="spellStart"/>
      <w:r>
        <w:rPr>
          <w:rFonts w:cs="Calibri"/>
          <w:lang w:eastAsia="nl-NL"/>
        </w:rPr>
        <w:t>discussion</w:t>
      </w:r>
      <w:proofErr w:type="spellEnd"/>
      <w:r>
        <w:rPr>
          <w:rFonts w:cs="Calibri"/>
          <w:lang w:eastAsia="nl-NL"/>
        </w:rPr>
        <w:t xml:space="preserve"> paper. Na uitwerking van het voorstel en goedkeuring door de IASB wordt het </w:t>
      </w:r>
      <w:proofErr w:type="spellStart"/>
      <w:r>
        <w:rPr>
          <w:rFonts w:cs="Calibri"/>
          <w:lang w:eastAsia="nl-NL"/>
        </w:rPr>
        <w:t>exposure</w:t>
      </w:r>
      <w:proofErr w:type="spellEnd"/>
      <w:r>
        <w:rPr>
          <w:rFonts w:cs="Calibri"/>
          <w:lang w:eastAsia="nl-NL"/>
        </w:rPr>
        <w:t xml:space="preserve"> </w:t>
      </w:r>
      <w:proofErr w:type="spellStart"/>
      <w:r>
        <w:rPr>
          <w:rFonts w:cs="Calibri"/>
          <w:lang w:eastAsia="nl-NL"/>
        </w:rPr>
        <w:t>draft</w:t>
      </w:r>
      <w:proofErr w:type="spellEnd"/>
      <w:r>
        <w:rPr>
          <w:rFonts w:cs="Calibri"/>
          <w:lang w:eastAsia="nl-NL"/>
        </w:rPr>
        <w:t xml:space="preserve"> gepubliceerd, waarna belanghebbenden wederom kunnen reageren. </w:t>
      </w:r>
    </w:p>
    <w:p w:rsidR="00780824" w:rsidRPr="004C09CE" w:rsidRDefault="00780824" w:rsidP="00780824">
      <w:pPr>
        <w:spacing w:line="360" w:lineRule="auto"/>
        <w:rPr>
          <w:i/>
          <w:lang w:val="en-US"/>
        </w:rPr>
      </w:pPr>
      <w:r w:rsidRPr="004C09CE">
        <w:rPr>
          <w:i/>
          <w:lang w:val="en-US"/>
        </w:rPr>
        <w:t>3.2.5 Developing and publishing the standard</w:t>
      </w:r>
      <w:r>
        <w:rPr>
          <w:rStyle w:val="Voetnootmarkering"/>
          <w:i/>
        </w:rPr>
        <w:footnoteReference w:id="31"/>
      </w:r>
    </w:p>
    <w:p w:rsidR="00780824" w:rsidRDefault="00780824" w:rsidP="00780824">
      <w:pPr>
        <w:spacing w:line="360" w:lineRule="auto"/>
      </w:pPr>
      <w:r w:rsidRPr="00737CC6">
        <w:t>Nada</w:t>
      </w:r>
      <w:r>
        <w:t xml:space="preserve">t de commentaren op het </w:t>
      </w:r>
      <w:proofErr w:type="spellStart"/>
      <w:r>
        <w:t>exposure</w:t>
      </w:r>
      <w:proofErr w:type="spellEnd"/>
      <w:r>
        <w:t xml:space="preserve"> </w:t>
      </w:r>
      <w:proofErr w:type="spellStart"/>
      <w:r>
        <w:t>draft</w:t>
      </w:r>
      <w:proofErr w:type="spellEnd"/>
      <w:r w:rsidRPr="00737CC6">
        <w:t xml:space="preserve"> zijn binnengekomen</w:t>
      </w:r>
      <w:r>
        <w:t>,</w:t>
      </w:r>
      <w:r w:rsidRPr="00737CC6">
        <w:t xml:space="preserve"> wordt de stand</w:t>
      </w:r>
      <w:r>
        <w:t>a</w:t>
      </w:r>
      <w:r w:rsidRPr="00737CC6">
        <w:t xml:space="preserve">ard ontwikkeld tijdens </w:t>
      </w:r>
      <w:r>
        <w:t xml:space="preserve">bijeenkomsten van de IASB. Hierbij worden de reacties overwogen en meegenomen in het eindproduct. Eventuele problemen die blijken uit de commentaren worden opgelost en overwogen wordt of het voorstel uit het </w:t>
      </w:r>
      <w:proofErr w:type="spellStart"/>
      <w:r>
        <w:t>exposure</w:t>
      </w:r>
      <w:proofErr w:type="spellEnd"/>
      <w:r>
        <w:t xml:space="preserve"> </w:t>
      </w:r>
      <w:proofErr w:type="spellStart"/>
      <w:r>
        <w:t>draft</w:t>
      </w:r>
      <w:proofErr w:type="spellEnd"/>
      <w:r>
        <w:t xml:space="preserve"> moet worden gewijzigd. Bij ingrijpende wijzigingen kan een tweede </w:t>
      </w:r>
      <w:proofErr w:type="spellStart"/>
      <w:r>
        <w:t>exposure</w:t>
      </w:r>
      <w:proofErr w:type="spellEnd"/>
      <w:r>
        <w:t xml:space="preserve"> </w:t>
      </w:r>
      <w:proofErr w:type="spellStart"/>
      <w:r>
        <w:t>draft</w:t>
      </w:r>
      <w:proofErr w:type="spellEnd"/>
      <w:r>
        <w:t xml:space="preserve"> worden uitgebracht, waarna opnieuw ruimte is voor reacties. </w:t>
      </w:r>
    </w:p>
    <w:p w:rsidR="00780824" w:rsidRDefault="00780824" w:rsidP="00780824">
      <w:pPr>
        <w:spacing w:line="360" w:lineRule="auto"/>
      </w:pPr>
      <w:r>
        <w:t>De wenselijkheid van een nieuwe publicatie wordt overwogen aan de hand van de ingrijpendheid van de wijzigingen, en aan de hand van de zekerheid over het resultaat.</w:t>
      </w:r>
    </w:p>
    <w:p w:rsidR="00780824" w:rsidRDefault="00780824" w:rsidP="00780824">
      <w:pPr>
        <w:spacing w:line="360" w:lineRule="auto"/>
      </w:pPr>
      <w:r>
        <w:t xml:space="preserve">Als de IASB tevreden is, en geen behoefte heeft aan een tweede </w:t>
      </w:r>
      <w:proofErr w:type="spellStart"/>
      <w:r>
        <w:t>exposure</w:t>
      </w:r>
      <w:proofErr w:type="spellEnd"/>
      <w:r>
        <w:t xml:space="preserve"> </w:t>
      </w:r>
      <w:proofErr w:type="spellStart"/>
      <w:r>
        <w:t>draft</w:t>
      </w:r>
      <w:proofErr w:type="spellEnd"/>
      <w:r>
        <w:t xml:space="preserve">, wordt er een </w:t>
      </w:r>
      <w:proofErr w:type="spellStart"/>
      <w:r>
        <w:t>IFRS-concept</w:t>
      </w:r>
      <w:proofErr w:type="spellEnd"/>
      <w:r>
        <w:t xml:space="preserve"> opgesteld. Dit concept wordt gepubliceerd voor externe controle, waarbij een belangrijke rol is weggelegd voor het IFRIC. Als het proces is afgerond en de leden van de IASB hebben ingestemd met publicatie, wordt de standaard uitgebracht.</w:t>
      </w:r>
    </w:p>
    <w:p w:rsidR="00780824" w:rsidRPr="000842D8" w:rsidRDefault="00780824" w:rsidP="00780824">
      <w:pPr>
        <w:spacing w:line="360" w:lineRule="auto"/>
        <w:rPr>
          <w:i/>
          <w:lang w:val="en-US"/>
        </w:rPr>
      </w:pPr>
      <w:r w:rsidRPr="000842D8">
        <w:rPr>
          <w:i/>
          <w:lang w:val="en-US"/>
        </w:rPr>
        <w:t>3.2.6 Procedures after an IFRS is issued</w:t>
      </w:r>
      <w:r>
        <w:rPr>
          <w:rStyle w:val="Voetnootmarkering"/>
          <w:i/>
          <w:lang w:val="en-US"/>
        </w:rPr>
        <w:footnoteReference w:id="32"/>
      </w:r>
    </w:p>
    <w:p w:rsidR="00780824" w:rsidRDefault="00780824" w:rsidP="00780824">
      <w:pPr>
        <w:spacing w:line="360" w:lineRule="auto"/>
      </w:pPr>
      <w:r w:rsidRPr="000842D8">
        <w:t>Na publicatie is het proces</w:t>
      </w:r>
      <w:r>
        <w:t xml:space="preserve"> nog niet afgerond, regelmatig organiseert de IASB bijeenkomsten voor belanghebbenden. Tijdens deze bijeenkomsten wordt gekeken naar problemen die optreden bij het gebruik van de standaard, maar ook naar de gevolgen van toepassing.</w:t>
      </w:r>
    </w:p>
    <w:p w:rsidR="00780824" w:rsidRPr="000842D8" w:rsidRDefault="00780824" w:rsidP="00780824">
      <w:pPr>
        <w:spacing w:line="360" w:lineRule="auto"/>
        <w:rPr>
          <w:i/>
        </w:rPr>
      </w:pPr>
      <w:r>
        <w:t xml:space="preserve">In het algemeen wordt er na verloop van tijd door de IASB een onderzoek gestart naar de toepassing van de tot stand gekomen standaard. Hierbij kijkt de organisatie of de gestelde doelen in de praktijk worden bereikt, of er tevredenheid is over de standaard en of er nieuwe problemen opdoemen die op de agenda gezet moeten worden. Als dit het geval is, start de IASB het proces opnieuw om een oplossing te zoeken voor het nieuwe probleem. </w:t>
      </w:r>
    </w:p>
    <w:p w:rsidR="00700FC5" w:rsidRDefault="00700FC5" w:rsidP="00700FC5">
      <w:pPr>
        <w:pStyle w:val="Kop3"/>
        <w:rPr>
          <w:color w:val="auto"/>
        </w:rPr>
      </w:pPr>
    </w:p>
    <w:p w:rsidR="00780824" w:rsidRPr="00700FC5" w:rsidRDefault="00780824" w:rsidP="00700FC5">
      <w:pPr>
        <w:pStyle w:val="Kop3"/>
        <w:rPr>
          <w:color w:val="auto"/>
        </w:rPr>
      </w:pPr>
      <w:bookmarkStart w:id="20" w:name="_Toc299913159"/>
      <w:r w:rsidRPr="00700FC5">
        <w:rPr>
          <w:color w:val="auto"/>
        </w:rPr>
        <w:t>3.3 Ontwikkeling IFRS SME</w:t>
      </w:r>
      <w:bookmarkEnd w:id="20"/>
      <w:r w:rsidRPr="00700FC5">
        <w:rPr>
          <w:color w:val="auto"/>
        </w:rPr>
        <w:t xml:space="preserve"> </w:t>
      </w:r>
    </w:p>
    <w:p w:rsidR="00780824" w:rsidRPr="004C09CE" w:rsidRDefault="00780824" w:rsidP="00780824">
      <w:pPr>
        <w:spacing w:line="360" w:lineRule="auto"/>
      </w:pPr>
      <w:r w:rsidRPr="004C09CE">
        <w:t xml:space="preserve">Na de uiteenzetting van de procedure </w:t>
      </w:r>
      <w:r>
        <w:t xml:space="preserve">die gevolgd wordt bij het ontwikkelen van een </w:t>
      </w:r>
      <w:proofErr w:type="spellStart"/>
      <w:r>
        <w:t>IFRS-standaard</w:t>
      </w:r>
      <w:proofErr w:type="spellEnd"/>
      <w:r>
        <w:t xml:space="preserve">, wordt in deze paragraaf de totstandkoming van de standaard voor </w:t>
      </w:r>
      <w:proofErr w:type="spellStart"/>
      <w:r>
        <w:t>small</w:t>
      </w:r>
      <w:proofErr w:type="spellEnd"/>
      <w:r>
        <w:t xml:space="preserve"> and </w:t>
      </w:r>
      <w:proofErr w:type="spellStart"/>
      <w:r>
        <w:t>medium-sized</w:t>
      </w:r>
      <w:proofErr w:type="spellEnd"/>
      <w:r>
        <w:t xml:space="preserve"> </w:t>
      </w:r>
      <w:proofErr w:type="spellStart"/>
      <w:r>
        <w:t>entities</w:t>
      </w:r>
      <w:proofErr w:type="spellEnd"/>
      <w:r>
        <w:t xml:space="preserve"> uiteengezet. Dit gebeurt aan de hand van de indeling die de IASB aanhoudt bij de beschrijving van het </w:t>
      </w:r>
      <w:proofErr w:type="spellStart"/>
      <w:r>
        <w:t>totstandkomingsproces</w:t>
      </w:r>
      <w:proofErr w:type="spellEnd"/>
      <w:r>
        <w:t xml:space="preserve"> van haar standaarden. De algemene beschrijving uit paragraaf 3.2 wordt ingevuld met de motieven, overwegingen en andere specifieke aspecten uit het ontwikkelingsproces van de IFRS </w:t>
      </w:r>
      <w:proofErr w:type="spellStart"/>
      <w:r>
        <w:t>SME-standaard</w:t>
      </w:r>
      <w:proofErr w:type="spellEnd"/>
      <w:r>
        <w:t>.</w:t>
      </w:r>
      <w:r>
        <w:rPr>
          <w:rStyle w:val="Voetnootmarkering"/>
        </w:rPr>
        <w:footnoteReference w:id="33"/>
      </w:r>
      <w:r>
        <w:t xml:space="preserve"> </w:t>
      </w:r>
    </w:p>
    <w:p w:rsidR="00780824" w:rsidRPr="00811883" w:rsidRDefault="00780824" w:rsidP="00780824">
      <w:pPr>
        <w:spacing w:line="360" w:lineRule="auto"/>
      </w:pPr>
      <w:r w:rsidRPr="00811883">
        <w:rPr>
          <w:i/>
        </w:rPr>
        <w:t>3.3.1 Setting the agenda</w:t>
      </w:r>
    </w:p>
    <w:p w:rsidR="00780824" w:rsidRDefault="00780824" w:rsidP="00780824">
      <w:pPr>
        <w:spacing w:line="360" w:lineRule="auto"/>
      </w:pPr>
      <w:r>
        <w:t>De IASB heeft de volgende overwegingen aangevoerd voor het op de agenda zetten van het project IFRS SME</w:t>
      </w:r>
      <w:r>
        <w:rPr>
          <w:rStyle w:val="Voetnootmarkering"/>
        </w:rPr>
        <w:footnoteReference w:id="34"/>
      </w:r>
      <w:r>
        <w:t xml:space="preserve">; </w:t>
      </w:r>
    </w:p>
    <w:p w:rsidR="00780824" w:rsidRDefault="00780824" w:rsidP="00780824">
      <w:pPr>
        <w:pStyle w:val="Lijstalinea"/>
        <w:numPr>
          <w:ilvl w:val="0"/>
          <w:numId w:val="2"/>
        </w:numPr>
        <w:spacing w:line="360" w:lineRule="auto"/>
      </w:pPr>
      <w:r>
        <w:t xml:space="preserve">Full IFRS is gericht op ondernemingen met public </w:t>
      </w:r>
      <w:proofErr w:type="spellStart"/>
      <w:r>
        <w:t>accountability</w:t>
      </w:r>
      <w:proofErr w:type="spellEnd"/>
      <w:r>
        <w:rPr>
          <w:rStyle w:val="Voetnootmarkering"/>
        </w:rPr>
        <w:footnoteReference w:id="35"/>
      </w:r>
      <w:r>
        <w:t xml:space="preserve">, en omvat meer aspecten dan gebruikers van </w:t>
      </w:r>
      <w:proofErr w:type="spellStart"/>
      <w:r>
        <w:t>financial</w:t>
      </w:r>
      <w:proofErr w:type="spellEnd"/>
      <w:r>
        <w:t xml:space="preserve"> statements van </w:t>
      </w:r>
      <w:proofErr w:type="spellStart"/>
      <w:r>
        <w:t>small</w:t>
      </w:r>
      <w:proofErr w:type="spellEnd"/>
      <w:r>
        <w:t xml:space="preserve"> and </w:t>
      </w:r>
      <w:proofErr w:type="spellStart"/>
      <w:r>
        <w:t>medium-sized</w:t>
      </w:r>
      <w:proofErr w:type="spellEnd"/>
      <w:r>
        <w:t xml:space="preserve"> </w:t>
      </w:r>
      <w:proofErr w:type="spellStart"/>
      <w:r>
        <w:t>entities</w:t>
      </w:r>
      <w:proofErr w:type="spellEnd"/>
      <w:r>
        <w:t xml:space="preserve"> nodig hebben. Deze gebruikers hebben behoefte aan informatie over een kortere termijn, waar IFRS SME op inspeelt. </w:t>
      </w:r>
    </w:p>
    <w:p w:rsidR="00780824" w:rsidRDefault="00780824" w:rsidP="00780824">
      <w:pPr>
        <w:pStyle w:val="Lijstalinea"/>
        <w:numPr>
          <w:ilvl w:val="0"/>
          <w:numId w:val="2"/>
        </w:numPr>
        <w:spacing w:line="360" w:lineRule="auto"/>
      </w:pPr>
      <w:r>
        <w:t>Full IFRS brengt een zware belasting mee voor kleinere ondernemingen. IFRS SME is bedoeld om deze kosten te drukken en tegelijkertijd een betere afstemming op de informatiebehoeften van de gebruikers te bereiken</w:t>
      </w:r>
    </w:p>
    <w:p w:rsidR="00780824" w:rsidRDefault="00780824" w:rsidP="00780824">
      <w:pPr>
        <w:pStyle w:val="Lijstalinea"/>
        <w:numPr>
          <w:ilvl w:val="0"/>
          <w:numId w:val="2"/>
        </w:numPr>
        <w:spacing w:line="360" w:lineRule="auto"/>
      </w:pPr>
      <w:r>
        <w:t xml:space="preserve">Er moet een eind komen aan het gebruik van lokale </w:t>
      </w:r>
      <w:proofErr w:type="spellStart"/>
      <w:r>
        <w:rPr>
          <w:i/>
        </w:rPr>
        <w:t>Generally</w:t>
      </w:r>
      <w:proofErr w:type="spellEnd"/>
      <w:r>
        <w:rPr>
          <w:i/>
        </w:rPr>
        <w:t xml:space="preserve"> </w:t>
      </w:r>
      <w:proofErr w:type="spellStart"/>
      <w:r>
        <w:rPr>
          <w:i/>
        </w:rPr>
        <w:t>Accepted</w:t>
      </w:r>
      <w:proofErr w:type="spellEnd"/>
      <w:r>
        <w:rPr>
          <w:i/>
        </w:rPr>
        <w:t xml:space="preserve"> Accounting </w:t>
      </w:r>
      <w:proofErr w:type="spellStart"/>
      <w:r>
        <w:rPr>
          <w:i/>
        </w:rPr>
        <w:t>Principles</w:t>
      </w:r>
      <w:proofErr w:type="spellEnd"/>
      <w:r>
        <w:rPr>
          <w:i/>
        </w:rPr>
        <w:t xml:space="preserve"> </w:t>
      </w:r>
      <w:r>
        <w:t xml:space="preserve">die overal verschillen. </w:t>
      </w:r>
    </w:p>
    <w:p w:rsidR="00780824" w:rsidRDefault="00780824" w:rsidP="00780824">
      <w:pPr>
        <w:spacing w:line="360" w:lineRule="auto"/>
      </w:pPr>
      <w:r>
        <w:t>De laatste overweging is uitgewerkt tot een aantal beperkingen die optreden door het gebruik van nationale regelingen.</w:t>
      </w:r>
    </w:p>
    <w:p w:rsidR="00780824" w:rsidRDefault="00780824" w:rsidP="00780824">
      <w:pPr>
        <w:numPr>
          <w:ilvl w:val="0"/>
          <w:numId w:val="3"/>
        </w:numPr>
        <w:spacing w:line="360" w:lineRule="auto"/>
      </w:pPr>
      <w:r>
        <w:t>Gebrek aan internationale vergelijkbaarheid op kapitaalmarkten</w:t>
      </w:r>
    </w:p>
    <w:p w:rsidR="00700FC5" w:rsidRDefault="00780824" w:rsidP="00780824">
      <w:pPr>
        <w:spacing w:line="360" w:lineRule="auto"/>
      </w:pPr>
      <w:r>
        <w:t xml:space="preserve">Het bedrijfsleven is over de hele wereld verbonden, ook op het niveau van kleine- en middelgrote ondernemingen. Handel vindt grensoverschrijdend plaats en productieondernemingen halen hun grondstoffen en halffabricaten uit diverse landen. Ook financiering van ondernemingen wordt niet beperkt door landsgrenzen. Hierbij is een belangrijke rol weggelegd voor banken, die kapitaal verstrekken aan ondernemingen over de hele wereld. </w:t>
      </w:r>
    </w:p>
    <w:p w:rsidR="00780824" w:rsidRDefault="00780824" w:rsidP="00780824">
      <w:pPr>
        <w:spacing w:line="360" w:lineRule="auto"/>
      </w:pPr>
      <w:r>
        <w:lastRenderedPageBreak/>
        <w:t xml:space="preserve">Om te bepalen tegen welke voorwaarden zij geld willen verstrekken, is het van belang dat ondernemingen vergeleken kunnen worden, ook internationaal. </w:t>
      </w:r>
    </w:p>
    <w:p w:rsidR="00780824" w:rsidRDefault="00780824" w:rsidP="00780824">
      <w:pPr>
        <w:spacing w:line="360" w:lineRule="auto"/>
      </w:pPr>
      <w:r>
        <w:t>Het bepalen van de kredietwaardigheid is hierbij essentieel, dit gebeurt door kredietbeoordelaars. Deze organisaties doen onderzoek naar het risico dat ondernemingen</w:t>
      </w:r>
      <w:r>
        <w:rPr>
          <w:rStyle w:val="Voetnootmarkering"/>
        </w:rPr>
        <w:footnoteReference w:id="36"/>
      </w:r>
      <w:r>
        <w:t xml:space="preserve"> hun verplichtingen in de toekomst niet na kunnen komen. Deze informatie wordt omgezet in een bepaalde rating, die investeerders kunnen gebruiken om te beslissen of zij kapitaal willen verstrekken aan de onderneming. De kredietbeoordelaars proberen de ratings op uniforme wijze te bepalen, maar dit is niet mogelijk als de verslaggeving niet vergelijkbaar is. </w:t>
      </w:r>
    </w:p>
    <w:p w:rsidR="00780824" w:rsidRDefault="00780824" w:rsidP="00780824">
      <w:pPr>
        <w:spacing w:line="360" w:lineRule="auto"/>
      </w:pPr>
      <w:r>
        <w:t xml:space="preserve">Potentiële investeerders hebben dus belang bij goede informatieverstrekking, maar bij de beslissing om in een onderneming te investeren wordt niet alleen naar de kredietratings gekeken. Ook de jaarverslagen zij hierbij van belang. Het is voor investeerders belangrijk dat deze vergelijkbaar zijn, het is lastig om een beslissing te nemen over een belegging als de verscheidene opties tegen elkaar afgewogen kunnen worden. Lokale regels zijn vaak niet goed afgestemd op de behoefte van investeerders aan gegevens waarmee zij de financiële positie van ondernemingen kunnen bepalen en vergelijken met andere ondernemingen. </w:t>
      </w:r>
    </w:p>
    <w:p w:rsidR="00780824" w:rsidRDefault="00780824" w:rsidP="00780824">
      <w:pPr>
        <w:tabs>
          <w:tab w:val="left" w:pos="3060"/>
        </w:tabs>
        <w:spacing w:line="360" w:lineRule="auto"/>
      </w:pPr>
      <w:r>
        <w:t xml:space="preserve">De eerste reden om IFRS SME te ontwikkelen was dus vooral gebaseerd op de behoefte van deelnemers op kapitaalmarkten aan vergelijkbare informatie. Op het moment dat alle </w:t>
      </w:r>
      <w:proofErr w:type="spellStart"/>
      <w:r>
        <w:t>small</w:t>
      </w:r>
      <w:proofErr w:type="spellEnd"/>
      <w:r>
        <w:t xml:space="preserve"> and </w:t>
      </w:r>
      <w:proofErr w:type="spellStart"/>
      <w:r>
        <w:t>medium-sized</w:t>
      </w:r>
      <w:proofErr w:type="spellEnd"/>
      <w:r>
        <w:t xml:space="preserve"> </w:t>
      </w:r>
      <w:proofErr w:type="spellStart"/>
      <w:r>
        <w:t>entities</w:t>
      </w:r>
      <w:proofErr w:type="spellEnd"/>
      <w:r>
        <w:t xml:space="preserve"> gebruik zouden maken van dezelfde standaard, en hier hun verslaggeving op zouden baseren, wordt de internationale vergelijkbaarheid sterk verbeterd. Gevolg hiervan is dat de efficiëntie op de kapitaalmarkten toe zou moeten nemen.</w:t>
      </w:r>
    </w:p>
    <w:p w:rsidR="00780824" w:rsidRDefault="00780824" w:rsidP="00780824">
      <w:pPr>
        <w:numPr>
          <w:ilvl w:val="0"/>
          <w:numId w:val="3"/>
        </w:numPr>
        <w:tabs>
          <w:tab w:val="left" w:pos="3060"/>
        </w:tabs>
        <w:spacing w:line="360" w:lineRule="auto"/>
      </w:pPr>
      <w:r>
        <w:t>Kwaliteit van informatie</w:t>
      </w:r>
    </w:p>
    <w:p w:rsidR="00780824" w:rsidRDefault="00780824" w:rsidP="00780824">
      <w:pPr>
        <w:tabs>
          <w:tab w:val="left" w:pos="3060"/>
        </w:tabs>
        <w:spacing w:line="360" w:lineRule="auto"/>
      </w:pPr>
      <w:r>
        <w:t>De IASB is van mening dat de nationale regelgeving vaak niet is afgestemd op de behoeften van gebruikers, zoals verstrekkers van kapitaal. Hierdoor krijgen ondernemingen moeilijker toegang tot de kapitaalmarkten en zijn hun kapitaalkosten hoger. Dit probleem speelt vooral in kleine ontwikkelingslanden. De IASB hoopte dat de ontwikkeling en invoering van IFRS SME dit probleem zou oplossen.</w:t>
      </w:r>
    </w:p>
    <w:p w:rsidR="00700FC5" w:rsidRDefault="00700FC5" w:rsidP="00780824">
      <w:pPr>
        <w:tabs>
          <w:tab w:val="left" w:pos="3060"/>
        </w:tabs>
        <w:spacing w:line="360" w:lineRule="auto"/>
      </w:pPr>
    </w:p>
    <w:p w:rsidR="00780824" w:rsidRDefault="00780824" w:rsidP="00780824">
      <w:pPr>
        <w:numPr>
          <w:ilvl w:val="0"/>
          <w:numId w:val="3"/>
        </w:numPr>
        <w:tabs>
          <w:tab w:val="left" w:pos="3060"/>
        </w:tabs>
        <w:spacing w:line="360" w:lineRule="auto"/>
      </w:pPr>
      <w:r>
        <w:lastRenderedPageBreak/>
        <w:t>Gebruik van full IFRS geen goed alternatief</w:t>
      </w:r>
    </w:p>
    <w:p w:rsidR="00780824" w:rsidRDefault="00780824" w:rsidP="00780824">
      <w:pPr>
        <w:tabs>
          <w:tab w:val="left" w:pos="3060"/>
        </w:tabs>
        <w:spacing w:line="360" w:lineRule="auto"/>
      </w:pPr>
      <w:r>
        <w:t xml:space="preserve">Toepassing van het volledige </w:t>
      </w:r>
      <w:proofErr w:type="spellStart"/>
      <w:r>
        <w:t>IFRS-pakket</w:t>
      </w:r>
      <w:proofErr w:type="spellEnd"/>
      <w:r>
        <w:t xml:space="preserve"> wordt door de IASB gezien als een te zware belasting voor de categorie ondernemingen die aan het </w:t>
      </w:r>
      <w:proofErr w:type="spellStart"/>
      <w:r>
        <w:t>SME-criterium</w:t>
      </w:r>
      <w:proofErr w:type="spellEnd"/>
      <w:r>
        <w:t xml:space="preserve"> voldoen. In veel landen wordt gebruik van deze standaarden toch opgelegd aan private entiteiten, waardoor zij een onnodig grote inspanning moeten leveren bij het opstellen van hun verslaggeving. De IASB hoopte hierop in te spelen, door met IFRS SME een geschikt alternatief te bieden. </w:t>
      </w:r>
    </w:p>
    <w:p w:rsidR="00780824" w:rsidRDefault="00780824" w:rsidP="00780824">
      <w:pPr>
        <w:spacing w:line="360" w:lineRule="auto"/>
        <w:rPr>
          <w:i/>
        </w:rPr>
      </w:pPr>
      <w:r>
        <w:rPr>
          <w:i/>
        </w:rPr>
        <w:t>3.3.2 Project Planning</w:t>
      </w:r>
      <w:r>
        <w:rPr>
          <w:rStyle w:val="Voetnootmarkering"/>
          <w:i/>
        </w:rPr>
        <w:footnoteReference w:id="37"/>
      </w:r>
    </w:p>
    <w:p w:rsidR="00780824" w:rsidRDefault="00780824" w:rsidP="00780824">
      <w:pPr>
        <w:spacing w:line="360" w:lineRule="auto"/>
      </w:pPr>
      <w:r>
        <w:t xml:space="preserve">In juli 2003 heeft de IASB het project IFRS </w:t>
      </w:r>
      <w:proofErr w:type="spellStart"/>
      <w:r>
        <w:t>for</w:t>
      </w:r>
      <w:proofErr w:type="spellEnd"/>
      <w:r>
        <w:t xml:space="preserve"> </w:t>
      </w:r>
      <w:proofErr w:type="spellStart"/>
      <w:r>
        <w:t>SMEs</w:t>
      </w:r>
      <w:proofErr w:type="spellEnd"/>
      <w:r>
        <w:t xml:space="preserve"> op de agenda gezet, waarna men is gaan nadenken over de inrichting van het project. Hierbij is gekozen voor overleg met nationale </w:t>
      </w:r>
      <w:proofErr w:type="spellStart"/>
      <w:r>
        <w:t>standard-setters</w:t>
      </w:r>
      <w:proofErr w:type="spellEnd"/>
      <w:r>
        <w:t xml:space="preserve">, die hun medewerking hebben verleend aan een onderzoek naar nationale regelgeving voor private entiteiten. Vrijwel elke nationale instantie was voor de ontwikkeling van een internationale standaard, hoewel ze ook aangaven dat binnen de nationale regelgeving ook ruimte was voor bijzondere bepalingen voor ondernemingen zonder public </w:t>
      </w:r>
      <w:proofErr w:type="spellStart"/>
      <w:r>
        <w:t>accountability</w:t>
      </w:r>
      <w:proofErr w:type="spellEnd"/>
      <w:r>
        <w:t xml:space="preserve">. Gekozen werd voor een project van de IASB, met ruimte voor inspraak van nationale instanties, waarbij de focus moest liggen op creatie van een standaard als vereenvoudigde vorm van het full </w:t>
      </w:r>
      <w:proofErr w:type="spellStart"/>
      <w:r>
        <w:t>IFRS-pakket</w:t>
      </w:r>
      <w:proofErr w:type="spellEnd"/>
      <w:r>
        <w:t xml:space="preserve">. </w:t>
      </w:r>
    </w:p>
    <w:p w:rsidR="00780824" w:rsidRPr="004F1E78" w:rsidRDefault="00780824" w:rsidP="00780824">
      <w:pPr>
        <w:spacing w:line="360" w:lineRule="auto"/>
        <w:rPr>
          <w:i/>
          <w:lang w:val="en-US"/>
        </w:rPr>
      </w:pPr>
      <w:r w:rsidRPr="004F1E78">
        <w:rPr>
          <w:i/>
          <w:lang w:val="en-US"/>
        </w:rPr>
        <w:t>3.</w:t>
      </w:r>
      <w:r>
        <w:rPr>
          <w:i/>
          <w:lang w:val="en-US"/>
        </w:rPr>
        <w:t>3</w:t>
      </w:r>
      <w:r w:rsidRPr="004F1E78">
        <w:rPr>
          <w:i/>
          <w:lang w:val="en-US"/>
        </w:rPr>
        <w:t>.3 Discussion Paper</w:t>
      </w:r>
      <w:r>
        <w:rPr>
          <w:rStyle w:val="Voetnootmarkering"/>
          <w:i/>
          <w:lang w:val="en-US"/>
        </w:rPr>
        <w:footnoteReference w:id="38"/>
      </w:r>
    </w:p>
    <w:p w:rsidR="00780824" w:rsidRDefault="00780824" w:rsidP="00780824">
      <w:pPr>
        <w:spacing w:line="360" w:lineRule="auto"/>
        <w:rPr>
          <w:rFonts w:cs="Calibri"/>
          <w:lang w:eastAsia="nl-NL"/>
        </w:rPr>
      </w:pPr>
      <w:r>
        <w:rPr>
          <w:lang w:val="en-US"/>
        </w:rPr>
        <w:t>I</w:t>
      </w:r>
      <w:r w:rsidRPr="00512400">
        <w:rPr>
          <w:lang w:val="en-US"/>
        </w:rPr>
        <w:t xml:space="preserve">n </w:t>
      </w:r>
      <w:proofErr w:type="spellStart"/>
      <w:r w:rsidRPr="00512400">
        <w:rPr>
          <w:lang w:val="en-US"/>
        </w:rPr>
        <w:t>juni</w:t>
      </w:r>
      <w:proofErr w:type="spellEnd"/>
      <w:r w:rsidRPr="00512400">
        <w:rPr>
          <w:lang w:val="en-US"/>
        </w:rPr>
        <w:t xml:space="preserve"> 2004 </w:t>
      </w:r>
      <w:proofErr w:type="spellStart"/>
      <w:r>
        <w:rPr>
          <w:lang w:val="en-US"/>
        </w:rPr>
        <w:t>volgde</w:t>
      </w:r>
      <w:proofErr w:type="spellEnd"/>
      <w:r>
        <w:rPr>
          <w:lang w:val="en-US"/>
        </w:rPr>
        <w:t xml:space="preserve"> </w:t>
      </w:r>
      <w:proofErr w:type="spellStart"/>
      <w:r w:rsidRPr="00512400">
        <w:rPr>
          <w:lang w:val="en-US"/>
        </w:rPr>
        <w:t>een</w:t>
      </w:r>
      <w:proofErr w:type="spellEnd"/>
      <w:r w:rsidRPr="00512400">
        <w:rPr>
          <w:lang w:val="en-US"/>
        </w:rPr>
        <w:t xml:space="preserve"> discussion paper</w:t>
      </w:r>
      <w:r>
        <w:rPr>
          <w:lang w:val="en-US"/>
        </w:rPr>
        <w:t>,</w:t>
      </w:r>
      <w:r w:rsidRPr="00512400">
        <w:rPr>
          <w:lang w:val="en-US"/>
        </w:rPr>
        <w:t xml:space="preserve"> </w:t>
      </w:r>
      <w:proofErr w:type="spellStart"/>
      <w:r w:rsidRPr="00512400">
        <w:rPr>
          <w:lang w:val="en-US"/>
        </w:rPr>
        <w:t>genaamd</w:t>
      </w:r>
      <w:proofErr w:type="spellEnd"/>
      <w:r w:rsidRPr="00512400">
        <w:rPr>
          <w:lang w:val="en-US"/>
        </w:rPr>
        <w:t xml:space="preserve"> </w:t>
      </w:r>
      <w:r w:rsidRPr="00512400">
        <w:rPr>
          <w:rFonts w:cs="Calibri"/>
          <w:lang w:val="en-US"/>
        </w:rPr>
        <w:t>“</w:t>
      </w:r>
      <w:r w:rsidRPr="00512400">
        <w:rPr>
          <w:rFonts w:cs="Calibri"/>
          <w:lang w:val="en-US" w:eastAsia="nl-NL"/>
        </w:rPr>
        <w:t xml:space="preserve">Preliminary Views on Accounting Standards for Small and Medium-sized Entities”. </w:t>
      </w:r>
      <w:r w:rsidRPr="004F1E78">
        <w:rPr>
          <w:rFonts w:cs="Calibri"/>
          <w:lang w:eastAsia="nl-NL"/>
        </w:rPr>
        <w:t>De belangrijkste punten die in dit document w</w:t>
      </w:r>
      <w:r>
        <w:rPr>
          <w:rFonts w:cs="Calibri"/>
          <w:lang w:eastAsia="nl-NL"/>
        </w:rPr>
        <w:t>e</w:t>
      </w:r>
      <w:r w:rsidRPr="004F1E78">
        <w:rPr>
          <w:rFonts w:cs="Calibri"/>
          <w:lang w:eastAsia="nl-NL"/>
        </w:rPr>
        <w:t xml:space="preserve">rden </w:t>
      </w:r>
      <w:r>
        <w:rPr>
          <w:rFonts w:cs="Calibri"/>
          <w:lang w:eastAsia="nl-NL"/>
        </w:rPr>
        <w:t>behandeld waren</w:t>
      </w:r>
      <w:r>
        <w:rPr>
          <w:rStyle w:val="Voetnootmarkering"/>
          <w:lang w:eastAsia="nl-NL"/>
        </w:rPr>
        <w:footnoteReference w:id="39"/>
      </w:r>
      <w:r>
        <w:rPr>
          <w:rFonts w:cs="Calibri"/>
          <w:lang w:eastAsia="nl-NL"/>
        </w:rPr>
        <w:t>:</w:t>
      </w:r>
    </w:p>
    <w:p w:rsidR="00780824" w:rsidRDefault="00780824" w:rsidP="00780824">
      <w:pPr>
        <w:numPr>
          <w:ilvl w:val="0"/>
          <w:numId w:val="2"/>
        </w:numPr>
        <w:spacing w:after="0" w:line="360" w:lineRule="auto"/>
        <w:ind w:left="714" w:hanging="357"/>
        <w:rPr>
          <w:rFonts w:cs="Calibri"/>
          <w:lang w:eastAsia="nl-NL"/>
        </w:rPr>
      </w:pPr>
      <w:r>
        <w:rPr>
          <w:rFonts w:cs="Calibri"/>
          <w:lang w:eastAsia="nl-NL"/>
        </w:rPr>
        <w:t xml:space="preserve">Moet de IASB een speciale standaard ontwikkelen voor </w:t>
      </w:r>
      <w:proofErr w:type="spellStart"/>
      <w:r>
        <w:rPr>
          <w:rFonts w:cs="Calibri"/>
          <w:lang w:eastAsia="nl-NL"/>
        </w:rPr>
        <w:t>small</w:t>
      </w:r>
      <w:proofErr w:type="spellEnd"/>
      <w:r>
        <w:rPr>
          <w:rFonts w:cs="Calibri"/>
          <w:lang w:eastAsia="nl-NL"/>
        </w:rPr>
        <w:t xml:space="preserve"> and </w:t>
      </w:r>
      <w:proofErr w:type="spellStart"/>
      <w:r>
        <w:rPr>
          <w:rFonts w:cs="Calibri"/>
          <w:lang w:eastAsia="nl-NL"/>
        </w:rPr>
        <w:t>medium-sized</w:t>
      </w:r>
      <w:proofErr w:type="spellEnd"/>
      <w:r>
        <w:rPr>
          <w:rFonts w:cs="Calibri"/>
          <w:lang w:eastAsia="nl-NL"/>
        </w:rPr>
        <w:t xml:space="preserve"> </w:t>
      </w:r>
      <w:proofErr w:type="spellStart"/>
      <w:r>
        <w:rPr>
          <w:rFonts w:cs="Calibri"/>
          <w:lang w:eastAsia="nl-NL"/>
        </w:rPr>
        <w:t>entities</w:t>
      </w:r>
      <w:proofErr w:type="spellEnd"/>
      <w:r>
        <w:rPr>
          <w:rFonts w:cs="Calibri"/>
          <w:lang w:eastAsia="nl-NL"/>
        </w:rPr>
        <w:t>?</w:t>
      </w:r>
    </w:p>
    <w:p w:rsidR="00780824" w:rsidRDefault="00780824" w:rsidP="00780824">
      <w:pPr>
        <w:numPr>
          <w:ilvl w:val="0"/>
          <w:numId w:val="2"/>
        </w:numPr>
        <w:spacing w:after="0" w:line="360" w:lineRule="auto"/>
        <w:rPr>
          <w:rFonts w:cs="Calibri"/>
          <w:lang w:eastAsia="nl-NL"/>
        </w:rPr>
      </w:pPr>
      <w:r>
        <w:rPr>
          <w:rFonts w:cs="Calibri"/>
          <w:lang w:eastAsia="nl-NL"/>
        </w:rPr>
        <w:t>Wat moeten de doelen van zo’n standaard zijn?</w:t>
      </w:r>
    </w:p>
    <w:p w:rsidR="00780824" w:rsidRDefault="00780824" w:rsidP="00780824">
      <w:pPr>
        <w:numPr>
          <w:ilvl w:val="0"/>
          <w:numId w:val="2"/>
        </w:numPr>
        <w:spacing w:after="0" w:line="360" w:lineRule="auto"/>
        <w:rPr>
          <w:rFonts w:cs="Calibri"/>
          <w:lang w:eastAsia="nl-NL"/>
        </w:rPr>
      </w:pPr>
      <w:r>
        <w:rPr>
          <w:rFonts w:cs="Calibri"/>
          <w:lang w:eastAsia="nl-NL"/>
        </w:rPr>
        <w:t>Hoe moet de doelgroep worden omschreven?</w:t>
      </w:r>
    </w:p>
    <w:p w:rsidR="00780824" w:rsidRDefault="00780824" w:rsidP="00780824">
      <w:pPr>
        <w:numPr>
          <w:ilvl w:val="0"/>
          <w:numId w:val="2"/>
        </w:numPr>
        <w:spacing w:after="0" w:line="360" w:lineRule="auto"/>
        <w:rPr>
          <w:rFonts w:cs="Calibri"/>
          <w:lang w:eastAsia="nl-NL"/>
        </w:rPr>
      </w:pPr>
      <w:r>
        <w:rPr>
          <w:rFonts w:cs="Calibri"/>
          <w:lang w:eastAsia="nl-NL"/>
        </w:rPr>
        <w:t>Mag een entiteit afwijken van de bepalingen in de standaard?</w:t>
      </w:r>
    </w:p>
    <w:p w:rsidR="00780824" w:rsidRDefault="00780824" w:rsidP="00780824">
      <w:pPr>
        <w:numPr>
          <w:ilvl w:val="0"/>
          <w:numId w:val="2"/>
        </w:numPr>
        <w:spacing w:line="360" w:lineRule="auto"/>
        <w:rPr>
          <w:rFonts w:cs="Calibri"/>
          <w:lang w:eastAsia="nl-NL"/>
        </w:rPr>
      </w:pPr>
      <w:r>
        <w:rPr>
          <w:rFonts w:cs="Calibri"/>
          <w:lang w:eastAsia="nl-NL"/>
        </w:rPr>
        <w:t>Hoe moet de standaard in verhouding staan tot full IFRS?</w:t>
      </w:r>
    </w:p>
    <w:p w:rsidR="00700FC5" w:rsidRDefault="00780824" w:rsidP="00780824">
      <w:pPr>
        <w:spacing w:line="360" w:lineRule="auto"/>
        <w:rPr>
          <w:rFonts w:cs="Calibri"/>
          <w:lang w:eastAsia="nl-NL"/>
        </w:rPr>
      </w:pPr>
      <w:r>
        <w:rPr>
          <w:rFonts w:cs="Calibri"/>
          <w:lang w:eastAsia="nl-NL"/>
        </w:rPr>
        <w:t xml:space="preserve">Ook werd in de </w:t>
      </w:r>
      <w:proofErr w:type="spellStart"/>
      <w:r>
        <w:rPr>
          <w:rFonts w:cs="Calibri"/>
          <w:lang w:eastAsia="nl-NL"/>
        </w:rPr>
        <w:t>discussion</w:t>
      </w:r>
      <w:proofErr w:type="spellEnd"/>
      <w:r>
        <w:rPr>
          <w:rFonts w:cs="Calibri"/>
          <w:lang w:eastAsia="nl-NL"/>
        </w:rPr>
        <w:t xml:space="preserve"> paper een uitnodiging gedaan om te reageren. Uit de reacties kwam naar voren dat een standaard van de IASB voor </w:t>
      </w:r>
      <w:proofErr w:type="spellStart"/>
      <w:r>
        <w:rPr>
          <w:rFonts w:cs="Calibri"/>
          <w:lang w:eastAsia="nl-NL"/>
        </w:rPr>
        <w:t>SMEs</w:t>
      </w:r>
      <w:proofErr w:type="spellEnd"/>
      <w:r>
        <w:rPr>
          <w:rFonts w:cs="Calibri"/>
          <w:lang w:eastAsia="nl-NL"/>
        </w:rPr>
        <w:t xml:space="preserve"> gewenst was. </w:t>
      </w:r>
    </w:p>
    <w:p w:rsidR="00700FC5" w:rsidRDefault="00700FC5" w:rsidP="00780824">
      <w:pPr>
        <w:spacing w:line="360" w:lineRule="auto"/>
        <w:rPr>
          <w:rFonts w:cs="Calibri"/>
          <w:lang w:eastAsia="nl-NL"/>
        </w:rPr>
      </w:pPr>
    </w:p>
    <w:p w:rsidR="00780824" w:rsidRDefault="00780824" w:rsidP="00780824">
      <w:pPr>
        <w:spacing w:line="360" w:lineRule="auto"/>
      </w:pPr>
      <w:r>
        <w:rPr>
          <w:rFonts w:cs="Calibri"/>
          <w:lang w:eastAsia="nl-NL"/>
        </w:rPr>
        <w:lastRenderedPageBreak/>
        <w:t xml:space="preserve">Deze standaard zou aan het volgende doel moeten voldoen: </w:t>
      </w:r>
      <w:r>
        <w:t xml:space="preserve">“het ontwikkelen van een </w:t>
      </w:r>
      <w:proofErr w:type="spellStart"/>
      <w:r>
        <w:t>IFRS-standaard</w:t>
      </w:r>
      <w:proofErr w:type="spellEnd"/>
      <w:r>
        <w:t xml:space="preserve">, specifiek afgestemd op de behoeften in verslaggeving van entiteiten zonder public </w:t>
      </w:r>
      <w:proofErr w:type="spellStart"/>
      <w:r>
        <w:t>accountability</w:t>
      </w:r>
      <w:proofErr w:type="spellEnd"/>
      <w:r>
        <w:t xml:space="preserve">, die </w:t>
      </w:r>
      <w:proofErr w:type="spellStart"/>
      <w:r>
        <w:t>general</w:t>
      </w:r>
      <w:proofErr w:type="spellEnd"/>
      <w:r>
        <w:t xml:space="preserve"> </w:t>
      </w:r>
      <w:proofErr w:type="spellStart"/>
      <w:r>
        <w:t>purpose</w:t>
      </w:r>
      <w:proofErr w:type="spellEnd"/>
      <w:r>
        <w:t xml:space="preserve"> </w:t>
      </w:r>
      <w:proofErr w:type="spellStart"/>
      <w:r>
        <w:t>financial</w:t>
      </w:r>
      <w:proofErr w:type="spellEnd"/>
      <w:r>
        <w:t xml:space="preserve"> statements voor externe gebruikers publiceren”</w:t>
      </w:r>
      <w:r>
        <w:rPr>
          <w:rStyle w:val="Voetnootmarkering"/>
        </w:rPr>
        <w:footnoteReference w:id="40"/>
      </w:r>
      <w:r>
        <w:t>. Afwijking van de standaard zou niet mogelijk moeten zijn, net als bij toepassing van full IFRS. In de verslaggeving op basis van de standaard zou geen verwijzing naar full IFRS nodig zijn, zolang de gebruiker maar duidelijk wordt gemaakt dat het verslag hier niet op is gebaseerd. Uit de reacties bleek ook een sterke behoefte aan vereenvoudiging van regelgeving, maar de precieze invulling hiervan werd overgelaten aan de IASB</w:t>
      </w:r>
      <w:r>
        <w:rPr>
          <w:rStyle w:val="Voetnootmarkering"/>
        </w:rPr>
        <w:footnoteReference w:id="41"/>
      </w:r>
      <w:r>
        <w:t xml:space="preserve">. </w:t>
      </w:r>
    </w:p>
    <w:p w:rsidR="00780824" w:rsidRDefault="00780824" w:rsidP="00780824">
      <w:pPr>
        <w:spacing w:line="360" w:lineRule="auto"/>
        <w:rPr>
          <w:i/>
        </w:rPr>
      </w:pPr>
      <w:r>
        <w:rPr>
          <w:i/>
        </w:rPr>
        <w:t xml:space="preserve">3.3.4 </w:t>
      </w:r>
      <w:proofErr w:type="spellStart"/>
      <w:r>
        <w:rPr>
          <w:i/>
        </w:rPr>
        <w:t>Exposure</w:t>
      </w:r>
      <w:proofErr w:type="spellEnd"/>
      <w:r>
        <w:rPr>
          <w:i/>
        </w:rPr>
        <w:t xml:space="preserve"> </w:t>
      </w:r>
      <w:proofErr w:type="spellStart"/>
      <w:r>
        <w:rPr>
          <w:i/>
        </w:rPr>
        <w:t>Draft</w:t>
      </w:r>
      <w:proofErr w:type="spellEnd"/>
      <w:r>
        <w:rPr>
          <w:rStyle w:val="Voetnootmarkering"/>
          <w:i/>
        </w:rPr>
        <w:footnoteReference w:id="42"/>
      </w:r>
      <w:r>
        <w:rPr>
          <w:rStyle w:val="Voetnootmarkering"/>
          <w:i/>
        </w:rPr>
        <w:footnoteReference w:id="43"/>
      </w:r>
    </w:p>
    <w:p w:rsidR="00780824" w:rsidRDefault="00780824" w:rsidP="00780824">
      <w:pPr>
        <w:spacing w:line="360" w:lineRule="auto"/>
      </w:pPr>
      <w:r>
        <w:rPr>
          <w:rFonts w:cs="Calibri"/>
          <w:lang w:eastAsia="nl-NL"/>
        </w:rPr>
        <w:t xml:space="preserve">Na overweging van de binnengekomen reacties en een serie discussies werd een </w:t>
      </w:r>
      <w:proofErr w:type="spellStart"/>
      <w:r>
        <w:rPr>
          <w:rFonts w:cs="Calibri"/>
          <w:lang w:eastAsia="nl-NL"/>
        </w:rPr>
        <w:t>exposure</w:t>
      </w:r>
      <w:proofErr w:type="spellEnd"/>
      <w:r>
        <w:rPr>
          <w:rFonts w:cs="Calibri"/>
          <w:lang w:eastAsia="nl-NL"/>
        </w:rPr>
        <w:t xml:space="preserve"> </w:t>
      </w:r>
      <w:proofErr w:type="spellStart"/>
      <w:r>
        <w:rPr>
          <w:rFonts w:cs="Calibri"/>
          <w:lang w:eastAsia="nl-NL"/>
        </w:rPr>
        <w:t>draft</w:t>
      </w:r>
      <w:proofErr w:type="spellEnd"/>
      <w:r>
        <w:rPr>
          <w:rFonts w:cs="Calibri"/>
          <w:lang w:eastAsia="nl-NL"/>
        </w:rPr>
        <w:t xml:space="preserve"> opgesteld. </w:t>
      </w:r>
      <w:r>
        <w:t xml:space="preserve">In februari 2007 werd door de IASB een </w:t>
      </w:r>
      <w:proofErr w:type="spellStart"/>
      <w:r>
        <w:t>exposure</w:t>
      </w:r>
      <w:proofErr w:type="spellEnd"/>
      <w:r>
        <w:t xml:space="preserve"> </w:t>
      </w:r>
      <w:proofErr w:type="spellStart"/>
      <w:r>
        <w:t>draft</w:t>
      </w:r>
      <w:proofErr w:type="spellEnd"/>
      <w:r>
        <w:t xml:space="preserve"> uitgebracht, met een voorstel voor  IFRS </w:t>
      </w:r>
      <w:proofErr w:type="spellStart"/>
      <w:r>
        <w:t>for</w:t>
      </w:r>
      <w:proofErr w:type="spellEnd"/>
      <w:r>
        <w:t xml:space="preserve"> </w:t>
      </w:r>
      <w:proofErr w:type="spellStart"/>
      <w:r>
        <w:t>SMEs</w:t>
      </w:r>
      <w:proofErr w:type="spellEnd"/>
      <w:r>
        <w:t xml:space="preserve">. De IASB gaf hierin aan dat IFRS </w:t>
      </w:r>
      <w:proofErr w:type="spellStart"/>
      <w:r>
        <w:t>for</w:t>
      </w:r>
      <w:proofErr w:type="spellEnd"/>
      <w:r>
        <w:t xml:space="preserve"> </w:t>
      </w:r>
      <w:proofErr w:type="spellStart"/>
      <w:r>
        <w:t>SMEs</w:t>
      </w:r>
      <w:proofErr w:type="spellEnd"/>
      <w:r>
        <w:t xml:space="preserve"> een standaard op zich moest worden, los van de overige </w:t>
      </w:r>
      <w:proofErr w:type="spellStart"/>
      <w:r>
        <w:t>IFRS-standaarden</w:t>
      </w:r>
      <w:proofErr w:type="spellEnd"/>
      <w:r>
        <w:t xml:space="preserve">. Dit had als gevolg dat niet kon worden volstaan met verwijzingen naar diverse bepalingen uit het </w:t>
      </w:r>
      <w:proofErr w:type="spellStart"/>
      <w:r>
        <w:t>IFRS-pakket</w:t>
      </w:r>
      <w:proofErr w:type="spellEnd"/>
      <w:r>
        <w:t xml:space="preserve">, maar dat er een volledige standaard met eigen bepalingen moest worden opgesteld. </w:t>
      </w:r>
    </w:p>
    <w:p w:rsidR="00780824" w:rsidRDefault="00780824" w:rsidP="00780824">
      <w:pPr>
        <w:spacing w:line="360" w:lineRule="auto"/>
      </w:pPr>
      <w:r>
        <w:t xml:space="preserve">Om dit te bereiken werd gekozen voor opname van benodigde bepalingen in de standaard, waarbij de afweging werd gebaseerd op behoeften van gebruikers en de kosten voor ondernemingen. De bepalingen waren gebaseerd op bestaande </w:t>
      </w:r>
      <w:proofErr w:type="spellStart"/>
      <w:r>
        <w:t>IFRS-standaarden</w:t>
      </w:r>
      <w:proofErr w:type="spellEnd"/>
      <w:r>
        <w:t xml:space="preserve">, maar werden niet integraal overgenomen. Onderwerpen die voor de gebruikers van jaarverslagen van de doelgroep niet relevant waren zijn weggelaten. Onderwerpen die wel van belang waren, maar waarbij de kosten van volledige toepassing niet zouden opwegen tegen de voordelen voor gebruikers werd gekozen voor een vereenvoudigde toepassing. Voorbeelden van vereenvoudigde toepassing komen aan de orde in hoofdstuk 4, waar de IFRS </w:t>
      </w:r>
      <w:proofErr w:type="spellStart"/>
      <w:r>
        <w:t>SME-standaard</w:t>
      </w:r>
      <w:proofErr w:type="spellEnd"/>
      <w:r>
        <w:t xml:space="preserve"> wordt vergeleken met full IFRS en de Nederlandse regelgeving. Ook in de </w:t>
      </w:r>
      <w:proofErr w:type="spellStart"/>
      <w:r>
        <w:t>exposure</w:t>
      </w:r>
      <w:proofErr w:type="spellEnd"/>
      <w:r>
        <w:t xml:space="preserve"> </w:t>
      </w:r>
      <w:proofErr w:type="spellStart"/>
      <w:r>
        <w:t>draft</w:t>
      </w:r>
      <w:proofErr w:type="spellEnd"/>
      <w:r>
        <w:t xml:space="preserve"> werd een uitnodiging tot reageren gedaan, hierop kwamen 162 commentaren binnen</w:t>
      </w:r>
      <w:r>
        <w:rPr>
          <w:rStyle w:val="Voetnootmarkering"/>
        </w:rPr>
        <w:footnoteReference w:id="44"/>
      </w:r>
      <w:r>
        <w:t xml:space="preserve">. Daarnaast is er een test uitgevoerd, waarbij 116 </w:t>
      </w:r>
      <w:proofErr w:type="spellStart"/>
      <w:r>
        <w:t>small</w:t>
      </w:r>
      <w:proofErr w:type="spellEnd"/>
      <w:r>
        <w:t xml:space="preserve"> and </w:t>
      </w:r>
      <w:proofErr w:type="spellStart"/>
      <w:r>
        <w:t>medium-sized</w:t>
      </w:r>
      <w:proofErr w:type="spellEnd"/>
      <w:r>
        <w:t xml:space="preserve"> </w:t>
      </w:r>
      <w:proofErr w:type="spellStart"/>
      <w:r>
        <w:t>entities</w:t>
      </w:r>
      <w:proofErr w:type="spellEnd"/>
      <w:r>
        <w:t xml:space="preserve"> uit 20 landen hun </w:t>
      </w:r>
      <w:proofErr w:type="spellStart"/>
      <w:r>
        <w:t>financial</w:t>
      </w:r>
      <w:proofErr w:type="spellEnd"/>
      <w:r>
        <w:t xml:space="preserve"> statements hebben omgezet naar het voorstel uit het </w:t>
      </w:r>
      <w:proofErr w:type="spellStart"/>
      <w:r>
        <w:t>exposure</w:t>
      </w:r>
      <w:proofErr w:type="spellEnd"/>
      <w:r>
        <w:t xml:space="preserve"> </w:t>
      </w:r>
      <w:proofErr w:type="spellStart"/>
      <w:r>
        <w:t>draft</w:t>
      </w:r>
      <w:proofErr w:type="spellEnd"/>
      <w:r>
        <w:t xml:space="preserve">. De problemen die hierbij zijn ervaren, werden doorgegeven aan de IASB ter verbetering van het concept. </w:t>
      </w:r>
    </w:p>
    <w:p w:rsidR="00780824" w:rsidRDefault="00780824" w:rsidP="00780824">
      <w:pPr>
        <w:spacing w:line="360" w:lineRule="auto"/>
      </w:pPr>
      <w:r>
        <w:lastRenderedPageBreak/>
        <w:t xml:space="preserve">Na overweging van de binnengekomen commentaren heeft de IASB het </w:t>
      </w:r>
      <w:proofErr w:type="spellStart"/>
      <w:r>
        <w:t>exposure</w:t>
      </w:r>
      <w:proofErr w:type="spellEnd"/>
      <w:r>
        <w:t xml:space="preserve"> </w:t>
      </w:r>
      <w:proofErr w:type="spellStart"/>
      <w:r>
        <w:t>draft</w:t>
      </w:r>
      <w:proofErr w:type="spellEnd"/>
      <w:r>
        <w:t xml:space="preserve"> op een aantal punten gewijzigd</w:t>
      </w:r>
      <w:r>
        <w:rPr>
          <w:rStyle w:val="Voetnootmarkering"/>
        </w:rPr>
        <w:footnoteReference w:id="45"/>
      </w:r>
      <w:r>
        <w:t xml:space="preserve">, waarbij ook aandacht is geweest voor de problemen die naar voren kwamen uit de tests. Voor een volledig overzicht van deze wijzigingen wordt verwezen naar de verslagen van de IASB Meetings over IFRS </w:t>
      </w:r>
      <w:proofErr w:type="spellStart"/>
      <w:r>
        <w:t>for</w:t>
      </w:r>
      <w:proofErr w:type="spellEnd"/>
      <w:r>
        <w:t xml:space="preserve"> </w:t>
      </w:r>
      <w:proofErr w:type="spellStart"/>
      <w:r>
        <w:t>SMEs</w:t>
      </w:r>
      <w:proofErr w:type="spellEnd"/>
      <w:r>
        <w:t xml:space="preserve">. </w:t>
      </w:r>
    </w:p>
    <w:p w:rsidR="00780824" w:rsidRPr="00811883" w:rsidRDefault="00780824" w:rsidP="00780824">
      <w:pPr>
        <w:spacing w:line="360" w:lineRule="auto"/>
        <w:rPr>
          <w:i/>
          <w:lang w:val="en-US"/>
        </w:rPr>
      </w:pPr>
      <w:r w:rsidRPr="00811883">
        <w:rPr>
          <w:i/>
          <w:lang w:val="en-US"/>
        </w:rPr>
        <w:t>3.3.5 Developing and publishing the standard</w:t>
      </w:r>
      <w:r>
        <w:rPr>
          <w:rStyle w:val="Voetnootmarkering"/>
          <w:i/>
        </w:rPr>
        <w:footnoteReference w:id="46"/>
      </w:r>
    </w:p>
    <w:p w:rsidR="00780824" w:rsidRDefault="00780824" w:rsidP="00780824">
      <w:pPr>
        <w:spacing w:line="360" w:lineRule="auto"/>
      </w:pPr>
      <w:r>
        <w:t xml:space="preserve">Deze wijzigingen waren, naar de mening van de IASB, niet van dien aard dat er behoefte was aan een tweede </w:t>
      </w:r>
      <w:proofErr w:type="spellStart"/>
      <w:r>
        <w:t>exposure</w:t>
      </w:r>
      <w:proofErr w:type="spellEnd"/>
      <w:r>
        <w:t xml:space="preserve"> </w:t>
      </w:r>
      <w:proofErr w:type="spellStart"/>
      <w:r>
        <w:t>draft</w:t>
      </w:r>
      <w:proofErr w:type="spellEnd"/>
      <w:r>
        <w:t xml:space="preserve">, waarna begonnen is aan het concept voor de standaard. Wijzigingen die na heroverweging van het </w:t>
      </w:r>
      <w:proofErr w:type="spellStart"/>
      <w:r>
        <w:t>exposure</w:t>
      </w:r>
      <w:proofErr w:type="spellEnd"/>
      <w:r>
        <w:t xml:space="preserve"> </w:t>
      </w:r>
      <w:proofErr w:type="spellStart"/>
      <w:r>
        <w:t>draft</w:t>
      </w:r>
      <w:proofErr w:type="spellEnd"/>
      <w:r>
        <w:t xml:space="preserve"> en de commentaren nodig werden geacht, zijn direct meegenomen in de standaard. De naam van de standaard was vatbaar voor discussie, maar uiteindelijk is gekozen voor de naam die eerder ook al werd aangehouden. </w:t>
      </w:r>
    </w:p>
    <w:p w:rsidR="00780824" w:rsidRPr="0087263B" w:rsidRDefault="00780824" w:rsidP="00780824">
      <w:pPr>
        <w:spacing w:line="360" w:lineRule="auto"/>
      </w:pPr>
      <w:r w:rsidRPr="002A4E6F">
        <w:rPr>
          <w:lang w:val="en-US"/>
        </w:rPr>
        <w:t xml:space="preserve">Het </w:t>
      </w:r>
      <w:proofErr w:type="spellStart"/>
      <w:r w:rsidRPr="002A4E6F">
        <w:rPr>
          <w:lang w:val="en-US"/>
        </w:rPr>
        <w:t>eindresultaat</w:t>
      </w:r>
      <w:proofErr w:type="spellEnd"/>
      <w:r w:rsidRPr="002A4E6F">
        <w:rPr>
          <w:lang w:val="en-US"/>
        </w:rPr>
        <w:t xml:space="preserve"> is in </w:t>
      </w:r>
      <w:proofErr w:type="spellStart"/>
      <w:r w:rsidRPr="002A4E6F">
        <w:rPr>
          <w:lang w:val="en-US"/>
        </w:rPr>
        <w:t>juli</w:t>
      </w:r>
      <w:proofErr w:type="spellEnd"/>
      <w:r w:rsidRPr="002A4E6F">
        <w:rPr>
          <w:lang w:val="en-US"/>
        </w:rPr>
        <w:t xml:space="preserve"> 2009 </w:t>
      </w:r>
      <w:proofErr w:type="spellStart"/>
      <w:r w:rsidRPr="002A4E6F">
        <w:rPr>
          <w:lang w:val="en-US"/>
        </w:rPr>
        <w:t>gepubliceerd</w:t>
      </w:r>
      <w:proofErr w:type="spellEnd"/>
      <w:r w:rsidRPr="002A4E6F">
        <w:rPr>
          <w:lang w:val="en-US"/>
        </w:rPr>
        <w:t>,</w:t>
      </w:r>
      <w:r>
        <w:rPr>
          <w:lang w:val="en-US"/>
        </w:rPr>
        <w:t xml:space="preserve"> </w:t>
      </w:r>
      <w:proofErr w:type="spellStart"/>
      <w:r>
        <w:rPr>
          <w:lang w:val="en-US"/>
        </w:rPr>
        <w:t>genaamd</w:t>
      </w:r>
      <w:proofErr w:type="spellEnd"/>
      <w:r>
        <w:rPr>
          <w:lang w:val="en-US"/>
        </w:rPr>
        <w:t xml:space="preserve"> “</w:t>
      </w:r>
      <w:r w:rsidRPr="002A4E6F">
        <w:rPr>
          <w:lang w:val="en-US"/>
        </w:rPr>
        <w:t>International Financial Reporting Standard for Small and Medium-sized Entities (IFRS for SMEs)</w:t>
      </w:r>
      <w:r>
        <w:rPr>
          <w:lang w:val="en-US"/>
        </w:rPr>
        <w:t xml:space="preserve">”. </w:t>
      </w:r>
      <w:r w:rsidRPr="0087263B">
        <w:t>De standaard is besproken in het vorige hoofdstuk, de inhoudelijke bepalingen komen nog nader aan de orde in hoofdstuk 4.</w:t>
      </w:r>
    </w:p>
    <w:p w:rsidR="00780824" w:rsidRDefault="00780824" w:rsidP="00780824">
      <w:pPr>
        <w:spacing w:line="360" w:lineRule="auto"/>
        <w:rPr>
          <w:i/>
          <w:lang w:val="en-US"/>
        </w:rPr>
      </w:pPr>
      <w:r>
        <w:rPr>
          <w:i/>
          <w:lang w:val="en-US"/>
        </w:rPr>
        <w:t>3.3.6 Procedures after an IFRS is issued</w:t>
      </w:r>
    </w:p>
    <w:p w:rsidR="00780824" w:rsidRDefault="00780824" w:rsidP="00780824">
      <w:pPr>
        <w:spacing w:line="360" w:lineRule="auto"/>
      </w:pPr>
      <w:r w:rsidRPr="0087263B">
        <w:t xml:space="preserve">Het IASB heeft een onderzoek uit laten voeren naar </w:t>
      </w:r>
      <w:r>
        <w:t>de bereidheid van landen om de standaard in te voeren. Dit onderzoek is reeds besproken in het vorige hoofdstuk.</w:t>
      </w:r>
      <w:r>
        <w:rPr>
          <w:rStyle w:val="Voetnootmarkering"/>
        </w:rPr>
        <w:footnoteReference w:id="47"/>
      </w:r>
      <w:r>
        <w:t xml:space="preserve"> </w:t>
      </w:r>
    </w:p>
    <w:p w:rsidR="00780824" w:rsidRPr="00700FC5" w:rsidRDefault="00780824" w:rsidP="00700FC5">
      <w:pPr>
        <w:pStyle w:val="Kop3"/>
        <w:rPr>
          <w:color w:val="auto"/>
        </w:rPr>
      </w:pPr>
      <w:bookmarkStart w:id="21" w:name="_Toc299913160"/>
      <w:r w:rsidRPr="00700FC5">
        <w:rPr>
          <w:color w:val="auto"/>
        </w:rPr>
        <w:t>3.4 Conclusie</w:t>
      </w:r>
      <w:bookmarkEnd w:id="21"/>
      <w:r w:rsidRPr="00700FC5">
        <w:rPr>
          <w:color w:val="auto"/>
        </w:rPr>
        <w:t xml:space="preserve"> </w:t>
      </w:r>
    </w:p>
    <w:p w:rsidR="00780824" w:rsidRDefault="00780824" w:rsidP="00780824">
      <w:pPr>
        <w:spacing w:line="360" w:lineRule="auto"/>
      </w:pPr>
      <w:r>
        <w:t xml:space="preserve">In dit hoofdstuk is de totstandkoming van een </w:t>
      </w:r>
      <w:proofErr w:type="spellStart"/>
      <w:r>
        <w:t>IFRS-standaard</w:t>
      </w:r>
      <w:proofErr w:type="spellEnd"/>
      <w:r>
        <w:t xml:space="preserve"> behandeld. Allereerst is het proces uiteengezet, vervolgens is dit toegelicht aan de hand van de ontwikkeling van de standaard IFRS </w:t>
      </w:r>
      <w:proofErr w:type="spellStart"/>
      <w:r>
        <w:t>for</w:t>
      </w:r>
      <w:proofErr w:type="spellEnd"/>
      <w:r>
        <w:t xml:space="preserve"> </w:t>
      </w:r>
      <w:proofErr w:type="spellStart"/>
      <w:r>
        <w:t>SMEs</w:t>
      </w:r>
      <w:proofErr w:type="spellEnd"/>
      <w:r>
        <w:t>. Hiermee is ook de deelvraag “</w:t>
      </w:r>
      <w:r>
        <w:rPr>
          <w:i/>
        </w:rPr>
        <w:t xml:space="preserve">Hoe is IFRS SME tot stand gekomen”  </w:t>
      </w:r>
      <w:r>
        <w:t xml:space="preserve">beantwoord. </w:t>
      </w:r>
    </w:p>
    <w:p w:rsidR="00700FC5" w:rsidRDefault="00780824" w:rsidP="00780824">
      <w:pPr>
        <w:spacing w:line="360" w:lineRule="auto"/>
      </w:pPr>
      <w:r>
        <w:t xml:space="preserve">Belangrijker dan de complete uiteenzetting van het proces is de informatie over motieven en bedoelingen van de IASB bij het opnemen van dit project op de agenda. De belangrijkste overwegingen die hier uit voortvloeien zijn behandeld. Allereerst is het zo dat de IASB met het project een standaard wilde creëren die specifiek afgestemd is op de behoeften van gebruikers van jaarverslagen van </w:t>
      </w:r>
      <w:proofErr w:type="spellStart"/>
      <w:r>
        <w:t>small</w:t>
      </w:r>
      <w:proofErr w:type="spellEnd"/>
      <w:r>
        <w:t xml:space="preserve"> and </w:t>
      </w:r>
      <w:proofErr w:type="spellStart"/>
      <w:r>
        <w:t>medium-sized</w:t>
      </w:r>
      <w:proofErr w:type="spellEnd"/>
      <w:r>
        <w:t xml:space="preserve"> </w:t>
      </w:r>
      <w:proofErr w:type="spellStart"/>
      <w:r>
        <w:t>entities</w:t>
      </w:r>
      <w:proofErr w:type="spellEnd"/>
      <w:r>
        <w:t xml:space="preserve">. Hierbij is een afweging gemaakt tussen de behoeften van gebruikers en de kosten voor ondernemingen. De kosten voor deze categorie ondernemingen van toepassing van full IFRS werden beschouwd als een te hoge belasting, wat verholpen moet worden met de speciale regeling. </w:t>
      </w:r>
    </w:p>
    <w:p w:rsidR="00780824" w:rsidRDefault="00780824" w:rsidP="00780824">
      <w:pPr>
        <w:spacing w:line="360" w:lineRule="auto"/>
      </w:pPr>
      <w:r>
        <w:lastRenderedPageBreak/>
        <w:t xml:space="preserve">Een andere belangrijke reden voor het project lag in de behoefte aan een toename van internationale vergelijkbaarheid op kapitaalmarkten. De nationale regelingen liepen dermate ver uiteen, dat verslaggeving niet goed vergeleken kon worden. Hierop wilde de IASB inspelen met creatie van de standaard. Het laatste argument dat is behandeld is te vinden in de vraag naar informatie van hogere kwaliteit. Verslaggeving op basis van de standaard IFRS </w:t>
      </w:r>
      <w:proofErr w:type="spellStart"/>
      <w:r>
        <w:t>for</w:t>
      </w:r>
      <w:proofErr w:type="spellEnd"/>
      <w:r>
        <w:t xml:space="preserve"> </w:t>
      </w:r>
      <w:proofErr w:type="spellStart"/>
      <w:r>
        <w:t>SMEs</w:t>
      </w:r>
      <w:proofErr w:type="spellEnd"/>
      <w:r>
        <w:t xml:space="preserve"> moet voldoen aan de hoge kwaliteitsstandaarden van de IASB, waarmee een eind moet komen aan verslaggeving van mindere kwaliteit op basis van lokale regelgeving. </w:t>
      </w:r>
    </w:p>
    <w:p w:rsidR="00780824" w:rsidRDefault="00780824" w:rsidP="00780824">
      <w:pPr>
        <w:spacing w:line="360" w:lineRule="auto"/>
      </w:pPr>
      <w:r>
        <w:t xml:space="preserve">Nadat in dit hoofdstuk is behandeld hoe de IFRS </w:t>
      </w:r>
      <w:proofErr w:type="spellStart"/>
      <w:r>
        <w:t>SME-standaard</w:t>
      </w:r>
      <w:proofErr w:type="spellEnd"/>
      <w:r>
        <w:t xml:space="preserve"> tot stand is gekomen, wordt het volgende deel aangegrepen voor een vergelijk van de inhoudelijke bepalingen met de Nederlandse regelgeving en met het volledige </w:t>
      </w:r>
      <w:proofErr w:type="spellStart"/>
      <w:r>
        <w:t>IFRS-pakket</w:t>
      </w:r>
      <w:proofErr w:type="spellEnd"/>
      <w:r>
        <w:t xml:space="preserve">. </w:t>
      </w:r>
    </w:p>
    <w:p w:rsidR="00780824" w:rsidRDefault="00780824">
      <w:pPr>
        <w:rPr>
          <w:color w:val="FF0000"/>
        </w:rPr>
      </w:pPr>
      <w:r>
        <w:rPr>
          <w:color w:val="FF0000"/>
        </w:rPr>
        <w:br w:type="page"/>
      </w:r>
    </w:p>
    <w:p w:rsidR="00780824" w:rsidRPr="00700FC5" w:rsidRDefault="00780824" w:rsidP="00700FC5">
      <w:pPr>
        <w:pStyle w:val="Kop2"/>
        <w:rPr>
          <w:color w:val="auto"/>
        </w:rPr>
      </w:pPr>
      <w:bookmarkStart w:id="22" w:name="_Toc299913161"/>
      <w:r w:rsidRPr="00700FC5">
        <w:rPr>
          <w:color w:val="auto"/>
        </w:rPr>
        <w:lastRenderedPageBreak/>
        <w:t>Hoofdstuk 4 – Vergelijking IFRS SME met full IFRS en RJ</w:t>
      </w:r>
      <w:bookmarkEnd w:id="22"/>
    </w:p>
    <w:p w:rsidR="00780824" w:rsidRPr="00700FC5" w:rsidRDefault="00780824" w:rsidP="00700FC5">
      <w:pPr>
        <w:pStyle w:val="Kop3"/>
        <w:rPr>
          <w:color w:val="auto"/>
        </w:rPr>
      </w:pPr>
      <w:bookmarkStart w:id="23" w:name="_Toc299913162"/>
      <w:r w:rsidRPr="00700FC5">
        <w:rPr>
          <w:color w:val="auto"/>
        </w:rPr>
        <w:t>4.1 Inleiding</w:t>
      </w:r>
      <w:bookmarkEnd w:id="23"/>
    </w:p>
    <w:p w:rsidR="00780824" w:rsidRDefault="00780824" w:rsidP="00780824">
      <w:pPr>
        <w:spacing w:line="360" w:lineRule="auto"/>
      </w:pPr>
      <w:r>
        <w:t xml:space="preserve">Nadat de totstandkoming van de </w:t>
      </w:r>
      <w:proofErr w:type="spellStart"/>
      <w:r>
        <w:t>IFRS-standaard</w:t>
      </w:r>
      <w:proofErr w:type="spellEnd"/>
      <w:r>
        <w:t xml:space="preserve"> voor </w:t>
      </w:r>
      <w:proofErr w:type="spellStart"/>
      <w:r>
        <w:t>small</w:t>
      </w:r>
      <w:proofErr w:type="spellEnd"/>
      <w:r>
        <w:t xml:space="preserve"> and </w:t>
      </w:r>
      <w:proofErr w:type="spellStart"/>
      <w:r>
        <w:t>medium-sized</w:t>
      </w:r>
      <w:proofErr w:type="spellEnd"/>
      <w:r>
        <w:t xml:space="preserve"> </w:t>
      </w:r>
      <w:proofErr w:type="spellStart"/>
      <w:r>
        <w:t>entities</w:t>
      </w:r>
      <w:proofErr w:type="spellEnd"/>
      <w:r>
        <w:t xml:space="preserve"> is behandeld in het vorige hoofdstuk, worden in dit hoofdstuk de inhoudelijke bepalingen van de standaard behandeld. </w:t>
      </w:r>
    </w:p>
    <w:p w:rsidR="00780824" w:rsidRDefault="00780824" w:rsidP="00780824">
      <w:pPr>
        <w:spacing w:line="360" w:lineRule="auto"/>
      </w:pPr>
      <w:r>
        <w:t xml:space="preserve">Voor deze uiteenzetting wordt aangesloten bij de gangbare indeling van de jaarrekening, waarbij de verwerking van de posten op de balans en de resultatenrekening wordt behandeld. De regels die vereist zijn volgens IFRS SME worden afgezet tegen de regels die zijn neergelegd in andere documenten. Hierbij wordt gekeken naar full IFRS en naar de Nederlandse regelgeving, waarbij eerst een korte beschrijving zal worden gegeven van deze bronnen. </w:t>
      </w:r>
    </w:p>
    <w:p w:rsidR="00780824" w:rsidRDefault="00780824" w:rsidP="00780824">
      <w:pPr>
        <w:spacing w:line="360" w:lineRule="auto"/>
        <w:rPr>
          <w:i/>
        </w:rPr>
      </w:pPr>
      <w:r>
        <w:t xml:space="preserve">Dit hoofdstuk is geschreven om deelvraag drie te beantwoorden: </w:t>
      </w:r>
      <w:r>
        <w:rPr>
          <w:i/>
        </w:rPr>
        <w:t>Hoe verhoudt toepassing van IFRS SME zich tot toepassing van de gebruikelijke regelgeving?</w:t>
      </w:r>
    </w:p>
    <w:p w:rsidR="00780824" w:rsidRDefault="00780824" w:rsidP="00780824">
      <w:pPr>
        <w:spacing w:line="360" w:lineRule="auto"/>
      </w:pPr>
      <w:r>
        <w:t xml:space="preserve">Het doel van deze deelvraag is het verschaffen van inzicht in de verschillen tussen de regels uit de IFRS </w:t>
      </w:r>
      <w:proofErr w:type="spellStart"/>
      <w:r>
        <w:t>SME-standaard</w:t>
      </w:r>
      <w:proofErr w:type="spellEnd"/>
      <w:r>
        <w:t xml:space="preserve"> en de regels die voortvloeien uit andere bronnen, waarbij gekeken wordt naar Dutch GAAP en naar full IFRS. </w:t>
      </w:r>
      <w:r w:rsidR="004126BC">
        <w:t>Bij het beantwoorden van deze deelvraag is gebruik gemaakt van de documenten die Ernst &amp; Young LLP heeft gepubliceerd over de vergelijkbaarheid van de stelsels</w:t>
      </w:r>
      <w:r w:rsidR="004126BC">
        <w:rPr>
          <w:rStyle w:val="Voetnootmarkering"/>
        </w:rPr>
        <w:footnoteReference w:id="48"/>
      </w:r>
      <w:r w:rsidR="004126BC">
        <w:t>.</w:t>
      </w:r>
    </w:p>
    <w:p w:rsidR="00780824" w:rsidRPr="005A1CE6" w:rsidRDefault="00780824" w:rsidP="00780824">
      <w:pPr>
        <w:spacing w:line="360" w:lineRule="auto"/>
      </w:pPr>
      <w:r>
        <w:t>Deze deelvraag staat in nauw verband met het volgende hoofdstuk, waarbij gekeken wordt naar de gevolgen van toepassing van IFRS SME voor de verslaggeving. De informatie uit dit hoofdstuk is essentieel voor het onderzoeken van de gevolgen, maar een uiteenzetting van de gevolgen vindt plaats in hoofdstuk vijf. In dit onderdeel beperk ik me nadrukkelijk tot een vergelijking van de regelgeving zonder aandacht te schenken aan de gevolgen van eventuele verschillen.</w:t>
      </w:r>
    </w:p>
    <w:p w:rsidR="00780824" w:rsidRPr="00700FC5" w:rsidRDefault="00780824" w:rsidP="00700FC5">
      <w:pPr>
        <w:pStyle w:val="Kop3"/>
        <w:rPr>
          <w:color w:val="auto"/>
        </w:rPr>
      </w:pPr>
      <w:bookmarkStart w:id="24" w:name="_Toc299913163"/>
      <w:r w:rsidRPr="00700FC5">
        <w:rPr>
          <w:color w:val="auto"/>
        </w:rPr>
        <w:t>4.2 Reikwijdte van de categorieën regelgeving</w:t>
      </w:r>
      <w:bookmarkEnd w:id="24"/>
    </w:p>
    <w:p w:rsidR="00780824" w:rsidRPr="00197C2C" w:rsidRDefault="00780824" w:rsidP="00780824">
      <w:pPr>
        <w:tabs>
          <w:tab w:val="left" w:pos="2925"/>
        </w:tabs>
        <w:spacing w:line="360" w:lineRule="auto"/>
        <w:rPr>
          <w:i/>
        </w:rPr>
      </w:pPr>
      <w:r>
        <w:rPr>
          <w:i/>
        </w:rPr>
        <w:t xml:space="preserve">4.2.1 </w:t>
      </w:r>
      <w:r w:rsidRPr="00197C2C">
        <w:rPr>
          <w:i/>
        </w:rPr>
        <w:t>IFRS SME</w:t>
      </w:r>
      <w:r>
        <w:rPr>
          <w:i/>
        </w:rPr>
        <w:tab/>
      </w:r>
    </w:p>
    <w:p w:rsidR="00780824" w:rsidRPr="00197C2C" w:rsidRDefault="00780824" w:rsidP="00780824">
      <w:pPr>
        <w:spacing w:line="360" w:lineRule="auto"/>
      </w:pPr>
      <w:r>
        <w:t xml:space="preserve">De groep ondernemingen die in aanmerking komt voor toepassing van IFRS SME is uitgebreid behandeld in paragraaf 2.4 van deze scriptie. Zoals in dat hoofdstuk is behandeld, omvat de reikwijdte van IFRS SME alle ondernemingen zonder public </w:t>
      </w:r>
      <w:proofErr w:type="spellStart"/>
      <w:r>
        <w:t>accountability</w:t>
      </w:r>
      <w:proofErr w:type="spellEnd"/>
      <w:r>
        <w:t xml:space="preserve"> die verslaggeving publiceren voor externe gebruikers. </w:t>
      </w:r>
    </w:p>
    <w:p w:rsidR="004126BC" w:rsidRDefault="00780824" w:rsidP="00780824">
      <w:pPr>
        <w:spacing w:line="360" w:lineRule="auto"/>
        <w:rPr>
          <w:i/>
        </w:rPr>
      </w:pPr>
      <w:r>
        <w:rPr>
          <w:i/>
        </w:rPr>
        <w:t>4.2.2 Dutch GAAP</w:t>
      </w:r>
    </w:p>
    <w:p w:rsidR="00700FC5" w:rsidRDefault="00780824" w:rsidP="00780824">
      <w:pPr>
        <w:spacing w:line="360" w:lineRule="auto"/>
      </w:pPr>
      <w:r>
        <w:t>Dutch GAAP omvat de wetgeving uit Titel 9 Boek 2 van het Burgerlijk Wetboek</w:t>
      </w:r>
      <w:r w:rsidR="004126BC">
        <w:t xml:space="preserve"> (BW) </w:t>
      </w:r>
      <w:r>
        <w:t>en de Richtlijnen van de Raad voor de Jaarverslaggeving</w:t>
      </w:r>
      <w:r w:rsidR="004126BC">
        <w:t xml:space="preserve"> (RJ)</w:t>
      </w:r>
      <w:r>
        <w:t xml:space="preserve">. </w:t>
      </w:r>
    </w:p>
    <w:p w:rsidR="00780824" w:rsidRPr="0031072B" w:rsidRDefault="00780824" w:rsidP="00780824">
      <w:pPr>
        <w:spacing w:line="360" w:lineRule="auto"/>
      </w:pPr>
      <w:r>
        <w:lastRenderedPageBreak/>
        <w:t>De Richtlijnen van de RJ geven invulling aan de wettelijke verwijzing naar ‘normen die in het maatschappelijk verkeer als aanvaardbaar worden beschouwd’.</w:t>
      </w:r>
      <w:r>
        <w:rPr>
          <w:rStyle w:val="Voetnootmarkering"/>
        </w:rPr>
        <w:footnoteReference w:id="49"/>
      </w:r>
      <w:r>
        <w:t xml:space="preserve"> Doordat zij geen kracht van wet hebben, kan er in de Richtlijnen niet worden afgeweken van wettelijke bepalingen.</w:t>
      </w:r>
      <w:r>
        <w:rPr>
          <w:rStyle w:val="Voetnootmarkering"/>
        </w:rPr>
        <w:footnoteReference w:id="50"/>
      </w:r>
      <w:r>
        <w:t xml:space="preserve"> Het bereik van deze regels is bepaald in artikel 2:360 BW, en omvat onder meer Naamloze Vennootschappen</w:t>
      </w:r>
      <w:r>
        <w:rPr>
          <w:rStyle w:val="Voetnootmarkering"/>
        </w:rPr>
        <w:footnoteReference w:id="51"/>
      </w:r>
      <w:r>
        <w:t>, Besloten Vennootschappen</w:t>
      </w:r>
      <w:r>
        <w:rPr>
          <w:rStyle w:val="Voetnootmarkering"/>
        </w:rPr>
        <w:footnoteReference w:id="52"/>
      </w:r>
      <w:r>
        <w:t xml:space="preserve"> en vennootschappen onder firma. Hierbij moet worden aangetekend dat </w:t>
      </w:r>
      <w:r w:rsidRPr="00891AD4">
        <w:rPr>
          <w:i/>
        </w:rPr>
        <w:t>beursgenoteerde</w:t>
      </w:r>
      <w:r>
        <w:t xml:space="preserve"> ondernemingen geen gebruik mogen maken van Dutch GAAP voor hun geconsolideerde jaarrekeningen, hiervoor is toepassing van full IFRS vereist</w:t>
      </w:r>
      <w:r>
        <w:rPr>
          <w:rStyle w:val="Voetnootmarkering"/>
        </w:rPr>
        <w:footnoteReference w:id="53"/>
      </w:r>
      <w:r>
        <w:t xml:space="preserve">. Overigens mogen alle ondernemingen er voor kiezen hun jaarrekening op te stellen volgens full IFRS, aldus artikel 2:362 lid 8 BW. </w:t>
      </w:r>
    </w:p>
    <w:p w:rsidR="00780824" w:rsidRDefault="00780824" w:rsidP="00780824">
      <w:pPr>
        <w:spacing w:line="360" w:lineRule="auto"/>
        <w:rPr>
          <w:i/>
        </w:rPr>
      </w:pPr>
      <w:r>
        <w:rPr>
          <w:i/>
        </w:rPr>
        <w:t>4.2.3 Full IFRS</w:t>
      </w:r>
    </w:p>
    <w:p w:rsidR="00780824" w:rsidRDefault="00780824" w:rsidP="00780824">
      <w:pPr>
        <w:spacing w:line="360" w:lineRule="auto"/>
      </w:pPr>
      <w:r>
        <w:t>Full IFRS heeft op zichzelf geen bindende kracht, maar is bedoeld als mondiale standaard voor de externe financiële verslaggeving.</w:t>
      </w:r>
      <w:r>
        <w:rPr>
          <w:rStyle w:val="Voetnootmarkering"/>
        </w:rPr>
        <w:footnoteReference w:id="54"/>
      </w:r>
      <w:r>
        <w:t xml:space="preserve"> In de Europese Unie is toepassing van door de Europese Commissie goedgekeurde standaarden verplicht voor beursgenoteerde ondernemingen bij het opstellen van hun geconsolideerde jaarrekening.</w:t>
      </w:r>
      <w:r>
        <w:rPr>
          <w:rStyle w:val="Voetnootmarkering"/>
        </w:rPr>
        <w:footnoteReference w:id="55"/>
      </w:r>
      <w:r>
        <w:t xml:space="preserve"> Lidstaten kunnen verdere toepassingsmogelijkheden van IFRS mogelijk maken in hun nationale wetgeving. In Nederland is er een keuzemogelijkheid voor verslaggeving die niet valt onder de noemer ‘geconsolideerde jaarrekening van beursgenoteerde ondernemingen’, te vinden in artikel 2:362 lid 8 BW. </w:t>
      </w:r>
    </w:p>
    <w:p w:rsidR="00780824" w:rsidRPr="00700FC5" w:rsidRDefault="00780824" w:rsidP="00700FC5">
      <w:pPr>
        <w:pStyle w:val="Kop3"/>
        <w:rPr>
          <w:color w:val="auto"/>
        </w:rPr>
      </w:pPr>
      <w:bookmarkStart w:id="25" w:name="_Toc299913164"/>
      <w:r w:rsidRPr="00700FC5">
        <w:rPr>
          <w:color w:val="auto"/>
        </w:rPr>
        <w:t>4.3 Vergelijking inhoudelijke bepalingen</w:t>
      </w:r>
      <w:bookmarkEnd w:id="25"/>
      <w:r w:rsidRPr="00700FC5">
        <w:rPr>
          <w:color w:val="auto"/>
        </w:rPr>
        <w:t xml:space="preserve"> </w:t>
      </w:r>
    </w:p>
    <w:p w:rsidR="00780824" w:rsidRDefault="00780824" w:rsidP="00780824">
      <w:pPr>
        <w:spacing w:line="360" w:lineRule="auto"/>
      </w:pPr>
      <w:r>
        <w:t xml:space="preserve">In deze paragraaf zal een uitgebreide vergelijking plaatsvinden van de regelgeving met betrekking tot de diverse posten in de jaarrekening. Hierbij zal voor de balans de indeling worden aangehouden van wettelijk Balansmodel B, waarbij de activa- en passivazijde naast elkaar worden weergegeven. De winst- en verliesrekening wordt behandeld aan de hand van de eisen die gesteld worden in IFRS SME. Posten die bij niet-beursgenoteerde ondernemingen, die in aanmerking komen voor toepassing van de </w:t>
      </w:r>
      <w:proofErr w:type="spellStart"/>
      <w:r>
        <w:t>SME-standaard</w:t>
      </w:r>
      <w:proofErr w:type="spellEnd"/>
      <w:r>
        <w:t xml:space="preserve">, een relatief kleine betekenis hebben worden niet behandeld. Dit zou een te uitputtend overzicht opleveren, wat niet in het belang is van deze scriptie doordat het karakter dan teveel zou veranderen in dat van een opsomming. </w:t>
      </w:r>
    </w:p>
    <w:p w:rsidR="00700FC5" w:rsidRDefault="00700FC5" w:rsidP="00780824">
      <w:pPr>
        <w:spacing w:line="360" w:lineRule="auto"/>
        <w:rPr>
          <w:b/>
        </w:rPr>
      </w:pPr>
    </w:p>
    <w:p w:rsidR="00780824" w:rsidRDefault="00780824" w:rsidP="00780824">
      <w:pPr>
        <w:spacing w:line="360" w:lineRule="auto"/>
        <w:rPr>
          <w:b/>
        </w:rPr>
      </w:pPr>
      <w:r>
        <w:rPr>
          <w:b/>
        </w:rPr>
        <w:lastRenderedPageBreak/>
        <w:t>4.3.1 Vaste Activa</w:t>
      </w:r>
    </w:p>
    <w:p w:rsidR="00780824" w:rsidRDefault="00780824" w:rsidP="00780824">
      <w:pPr>
        <w:spacing w:line="360" w:lineRule="auto"/>
        <w:rPr>
          <w:b/>
          <w:i/>
        </w:rPr>
      </w:pPr>
      <w:r>
        <w:rPr>
          <w:b/>
          <w:i/>
        </w:rPr>
        <w:t>Immateriële vaste activa</w:t>
      </w:r>
    </w:p>
    <w:p w:rsidR="00780824" w:rsidRDefault="00780824" w:rsidP="00780824">
      <w:pPr>
        <w:spacing w:line="360" w:lineRule="auto"/>
      </w:pPr>
      <w:r>
        <w:t xml:space="preserve">IFRS SME hanteert geen verplichte specificatie waarbij bepaalde immateriële vaste activa afzonderlijk moeten worden opgenomen, dit in tegenstelling tot de Nederlandse regelgeving. Artikel 2:365 BW geeft een aantal categorieën aan die verplicht apart moeten worden vermeld. Zowel bij toepassing van full IFRS als bij gebruik van IFRS SME worden de immateriële vaste activa </w:t>
      </w:r>
      <w:r>
        <w:rPr>
          <w:i/>
        </w:rPr>
        <w:t xml:space="preserve">in de toelichting </w:t>
      </w:r>
      <w:r>
        <w:t>apart ingedeeld naar categorieën</w:t>
      </w:r>
      <w:r>
        <w:rPr>
          <w:rStyle w:val="Voetnootmarkering"/>
        </w:rPr>
        <w:footnoteReference w:id="56"/>
      </w:r>
      <w:r>
        <w:t xml:space="preserve">. </w:t>
      </w:r>
    </w:p>
    <w:p w:rsidR="00780824" w:rsidRDefault="00780824" w:rsidP="00780824">
      <w:pPr>
        <w:spacing w:line="360" w:lineRule="auto"/>
      </w:pPr>
      <w:r>
        <w:t>De resultaatbepaling wordt onder meer beïnvloed door de afschrijving over activa. De hoogte van de afschrijvingen is afhankelijk van de economische levensduur. In IFRS SME wordt deze verondersteld 10 jaar te zijn, tenzij een betrouwbare schatting mogelijk is</w:t>
      </w:r>
      <w:r>
        <w:rPr>
          <w:rStyle w:val="Voetnootmarkering"/>
        </w:rPr>
        <w:footnoteReference w:id="57"/>
      </w:r>
      <w:r>
        <w:t xml:space="preserve">. </w:t>
      </w:r>
      <w:r w:rsidR="00700FC5">
        <w:t>Onder full IFRS is dit anders:</w:t>
      </w:r>
      <w:r>
        <w:t xml:space="preserve"> op het moment dat de economische levensduur niet te bepalen is, wordt deze aangemerkt als ‘onbepaalbaar’</w:t>
      </w:r>
      <w:r>
        <w:rPr>
          <w:rStyle w:val="Voetnootmarkering"/>
        </w:rPr>
        <w:footnoteReference w:id="58"/>
      </w:r>
      <w:r>
        <w:t xml:space="preserve">. </w:t>
      </w:r>
      <w:r w:rsidR="00700FC5">
        <w:t xml:space="preserve">Er kan dan </w:t>
      </w:r>
      <w:r>
        <w:t xml:space="preserve">geen systematische afschrijving plaatsvinden, er moet jaarlijks een </w:t>
      </w:r>
      <w:proofErr w:type="spellStart"/>
      <w:r>
        <w:t>impair</w:t>
      </w:r>
      <w:r w:rsidR="00037FAE">
        <w:t>ment</w:t>
      </w:r>
      <w:r>
        <w:t>test</w:t>
      </w:r>
      <w:proofErr w:type="spellEnd"/>
      <w:r>
        <w:t xml:space="preserve"> worden uitgevoerd om bijzondere waardeverminderingen af te boeken. </w:t>
      </w:r>
      <w:r w:rsidR="00700FC5">
        <w:t xml:space="preserve">Een dergelijke verplichting </w:t>
      </w:r>
      <w:r>
        <w:t>ontbreekt in IFRS SME. De Nederlandse regelgeving gaat uit van afschrijving op basis van de verwachte toekomstige gebruiksduur.</w:t>
      </w:r>
      <w:r>
        <w:rPr>
          <w:rStyle w:val="Voetnootmarkering"/>
        </w:rPr>
        <w:footnoteReference w:id="59"/>
      </w:r>
      <w:r>
        <w:t xml:space="preserve"> </w:t>
      </w:r>
    </w:p>
    <w:p w:rsidR="00780824" w:rsidRDefault="00780824" w:rsidP="00780824">
      <w:pPr>
        <w:spacing w:line="360" w:lineRule="auto"/>
      </w:pPr>
      <w:r>
        <w:t>Kosten gemaakt voor ontwikkeling moeten, mits voldaan is aan de voorwaarden voor erkenning van een immaterieel vast actief</w:t>
      </w:r>
      <w:r>
        <w:rPr>
          <w:rStyle w:val="Voetnootmarkering"/>
        </w:rPr>
        <w:footnoteReference w:id="60"/>
      </w:r>
      <w:r>
        <w:t>, onder Nederlandse regelgeving en onder full IFRS worden geactiveerd</w:t>
      </w:r>
      <w:r>
        <w:rPr>
          <w:rStyle w:val="Voetnootmarkering"/>
        </w:rPr>
        <w:footnoteReference w:id="61"/>
      </w:r>
      <w:r>
        <w:t>, terwijl deze bij toepassing van IFRS SME altijd direct ten laste van de winst- en verliesrekening moeten worden gebracht. In IFRS SME is een verbod op activering van intern gecreëerde immateriële vaste activa</w:t>
      </w:r>
      <w:r>
        <w:rPr>
          <w:rStyle w:val="Voetnootmarkering"/>
        </w:rPr>
        <w:footnoteReference w:id="62"/>
      </w:r>
      <w:r>
        <w:t xml:space="preserve">. </w:t>
      </w:r>
    </w:p>
    <w:p w:rsidR="00700FC5" w:rsidRDefault="00780824" w:rsidP="00780824">
      <w:pPr>
        <w:spacing w:line="360" w:lineRule="auto"/>
      </w:pPr>
      <w:r>
        <w:t xml:space="preserve">Onder Dutch GAAP is waardering tegen actuele waarde toegestaan, net als de </w:t>
      </w:r>
      <w:proofErr w:type="spellStart"/>
      <w:r>
        <w:t>verkrijgings</w:t>
      </w:r>
      <w:proofErr w:type="spellEnd"/>
      <w:r>
        <w:t xml:space="preserve">- of </w:t>
      </w:r>
      <w:proofErr w:type="spellStart"/>
      <w:r>
        <w:t>vervaardigingsprijs</w:t>
      </w:r>
      <w:proofErr w:type="spellEnd"/>
      <w:r>
        <w:t xml:space="preserve">, zo blijkt uit artikel 2:384 lid 1 BW. Ook volgens full IFRS is dit toegestaan, zo valt op te maken uit de regels van IAS 38.75. Hiervoor is </w:t>
      </w:r>
      <w:r w:rsidR="00700FC5">
        <w:t xml:space="preserve">wel </w:t>
      </w:r>
      <w:r>
        <w:t xml:space="preserve">vereist dat er voor het actief een liquide markt bestaat. De actuele waarde wordt in het Nederlandse stelsel ingevuld als de laagste van bedrijfswaarde en vervangingswaarde, of opbrengstwaarde als de immateriële vaste activa verkocht zullen worden. </w:t>
      </w:r>
    </w:p>
    <w:p w:rsidR="00780824" w:rsidRPr="00DA0DE0" w:rsidRDefault="00780824" w:rsidP="00780824">
      <w:pPr>
        <w:spacing w:line="360" w:lineRule="auto"/>
      </w:pPr>
      <w:r>
        <w:lastRenderedPageBreak/>
        <w:t>IFRS gebruikt het begrip reële waarde, en vult dit in als “het bedrag waarvoor het actief kan worden verhandeld tussen ter zake goed geïnformeerde tot een transactie bereid zijnde partijen die onafhankelijk zijn”.</w:t>
      </w:r>
      <w:r>
        <w:rPr>
          <w:rStyle w:val="Voetnootmarkering"/>
        </w:rPr>
        <w:footnoteReference w:id="63"/>
      </w:r>
      <w:r>
        <w:t xml:space="preserve"> IFRS SME staat waardering tegen actuele waarde </w:t>
      </w:r>
      <w:r>
        <w:rPr>
          <w:i/>
        </w:rPr>
        <w:t xml:space="preserve">niet </w:t>
      </w:r>
      <w:r>
        <w:t xml:space="preserve">toe, waardering dient plaats te vinden tegen kostprijs. </w:t>
      </w:r>
    </w:p>
    <w:p w:rsidR="00780824" w:rsidRPr="006F5C7D" w:rsidRDefault="00780824" w:rsidP="00780824">
      <w:pPr>
        <w:spacing w:line="360" w:lineRule="auto"/>
        <w:rPr>
          <w:i/>
        </w:rPr>
      </w:pPr>
      <w:r w:rsidRPr="006F5C7D">
        <w:rPr>
          <w:i/>
        </w:rPr>
        <w:t>Goodwill</w:t>
      </w:r>
    </w:p>
    <w:p w:rsidR="00780824" w:rsidRDefault="00780824" w:rsidP="00780824">
      <w:pPr>
        <w:spacing w:line="360" w:lineRule="auto"/>
      </w:pPr>
      <w:r>
        <w:t>Een bijzondere categorie immateriële vaste activa wordt gevormd door de post goodwill. Om een beeld te schetsen van het begrip goodwill wordt de omschrijving van het Nederlandse stelsel aangehaald: goodwill is het verschil tussen de waarde van de onderneming en de reële waarde van alle identificeerbare activa en passiva</w:t>
      </w:r>
      <w:r>
        <w:rPr>
          <w:rStyle w:val="Voetnootmarkering"/>
        </w:rPr>
        <w:footnoteReference w:id="64"/>
      </w:r>
      <w:r>
        <w:t xml:space="preserve">. Bij de waardering van de onderneming wordt rekening gehouden met winstverwachtingen, die zich niet uiten in de reële waarde van de activa en passiva. Bij hoge winstverwachtingen kan de waarde van de onderneming uitstijgen boven de reële waarde van de activa en passiva, waardoor een verschil ontstaat. Dit verschil wordt betiteld als goodwill. Hierbij is een onderscheid te maken tussen eigen goodwill, die door de onderneming zelf is gecreëerd door haar eigen activiteiten, en gekochte goodwill, waarbij de waarde van de onderneming gesteld wordt op de </w:t>
      </w:r>
      <w:proofErr w:type="spellStart"/>
      <w:r>
        <w:t>verkrijgingsprijs</w:t>
      </w:r>
      <w:proofErr w:type="spellEnd"/>
      <w:r>
        <w:t xml:space="preserve">. Het bedrag dat aan goodwill is betaald wordt dan gelijkgesteld als het verschil tussen de </w:t>
      </w:r>
      <w:proofErr w:type="spellStart"/>
      <w:r>
        <w:t>verkrijgingsprijs</w:t>
      </w:r>
      <w:proofErr w:type="spellEnd"/>
      <w:r>
        <w:t xml:space="preserve"> en de reële waarde van activa en passiva</w:t>
      </w:r>
      <w:r>
        <w:rPr>
          <w:rStyle w:val="Voetnootmarkering"/>
        </w:rPr>
        <w:footnoteReference w:id="65"/>
      </w:r>
      <w:r>
        <w:t>.</w:t>
      </w:r>
    </w:p>
    <w:p w:rsidR="00780824" w:rsidRDefault="00780824" w:rsidP="00780824">
      <w:pPr>
        <w:spacing w:line="360" w:lineRule="auto"/>
      </w:pPr>
      <w:r>
        <w:t xml:space="preserve">Zelf gecreëerde goodwill mag niet geactiveerd worden, noch onder IFRS (IAS 38.48), noch onder het Nederlandse stelsel (2:365 lid 1 BW). Gekochte goodwill moet onder full IFRS worden geactiveerd, hier mag </w:t>
      </w:r>
      <w:r w:rsidRPr="00891AD4">
        <w:rPr>
          <w:i/>
        </w:rPr>
        <w:t>niet</w:t>
      </w:r>
      <w:r>
        <w:t xml:space="preserve"> stelselmatig op worden afgeschreven. Jaarlijks vindt een </w:t>
      </w:r>
      <w:proofErr w:type="spellStart"/>
      <w:r>
        <w:t>impairmenttest</w:t>
      </w:r>
      <w:proofErr w:type="spellEnd"/>
      <w:r>
        <w:t xml:space="preserve"> plaats. De goodwill wordt gewaardeerd op basis van de </w:t>
      </w:r>
      <w:proofErr w:type="spellStart"/>
      <w:r>
        <w:t>verkrijgingsprijs</w:t>
      </w:r>
      <w:proofErr w:type="spellEnd"/>
      <w:r>
        <w:t xml:space="preserve"> van de goodwill, verminderd met de gecumuleerde bijzondere waardeverminderingen hierop, die voortvloeien uit de jaarlijkse </w:t>
      </w:r>
      <w:proofErr w:type="spellStart"/>
      <w:r>
        <w:t>impairmenttest</w:t>
      </w:r>
      <w:proofErr w:type="spellEnd"/>
      <w:r>
        <w:t>.</w:t>
      </w:r>
      <w:r>
        <w:rPr>
          <w:rStyle w:val="Voetnootmarkering"/>
        </w:rPr>
        <w:footnoteReference w:id="66"/>
      </w:r>
      <w:r>
        <w:t xml:space="preserve"> Volgens Nederlandse regelgeving mag goodwill geactiveerd worden, waarna systematisch wordt afgeschreven over een (weerlegbaar) maximumlevensduur van 20 jaar</w:t>
      </w:r>
      <w:r>
        <w:rPr>
          <w:rStyle w:val="Voetnootmarkering"/>
        </w:rPr>
        <w:footnoteReference w:id="67"/>
      </w:r>
      <w:r>
        <w:t xml:space="preserve">. Ook verwerking ten laste van het eigen vermogen of de winst- en verliesrekening is mogelijk, maar de RJ </w:t>
      </w:r>
      <w:r w:rsidR="00700FC5">
        <w:t>b</w:t>
      </w:r>
      <w:r>
        <w:t>eveelt activering en afschrijving aan</w:t>
      </w:r>
      <w:r>
        <w:rPr>
          <w:rStyle w:val="Voetnootmarkering"/>
        </w:rPr>
        <w:footnoteReference w:id="68"/>
      </w:r>
      <w:r>
        <w:t>. Volgens IFRS SME is de enige mogelijke waardering gebaseerd op activering en afschrijving over de levensduur.</w:t>
      </w:r>
      <w:r>
        <w:rPr>
          <w:rStyle w:val="Voetnootmarkering"/>
        </w:rPr>
        <w:footnoteReference w:id="69"/>
      </w:r>
    </w:p>
    <w:p w:rsidR="00700FC5" w:rsidRDefault="00700FC5" w:rsidP="00780824">
      <w:pPr>
        <w:spacing w:line="360" w:lineRule="auto"/>
        <w:rPr>
          <w:b/>
          <w:i/>
        </w:rPr>
      </w:pPr>
    </w:p>
    <w:p w:rsidR="00780824" w:rsidRDefault="00780824" w:rsidP="00780824">
      <w:pPr>
        <w:spacing w:line="360" w:lineRule="auto"/>
        <w:rPr>
          <w:b/>
          <w:i/>
        </w:rPr>
      </w:pPr>
      <w:r>
        <w:rPr>
          <w:b/>
          <w:i/>
        </w:rPr>
        <w:lastRenderedPageBreak/>
        <w:t>Materiële vaste activa</w:t>
      </w:r>
    </w:p>
    <w:p w:rsidR="00780824" w:rsidRPr="009B54CD" w:rsidRDefault="00780824" w:rsidP="00780824">
      <w:pPr>
        <w:spacing w:line="360" w:lineRule="auto"/>
        <w:rPr>
          <w:rFonts w:ascii="Arial" w:hAnsi="Arial" w:cs="Arial"/>
        </w:rPr>
      </w:pPr>
      <w:r>
        <w:t>Ook bij deze categorie hanteert IFRS SME geen specifiek voorgeschreven categorieën, maar is er wel sprake van een verplichting tot het gebruiken van een indeling die past bij de onderneming.</w:t>
      </w:r>
      <w:r>
        <w:rPr>
          <w:rStyle w:val="Voetnootmarkering"/>
        </w:rPr>
        <w:footnoteReference w:id="70"/>
      </w:r>
      <w:r>
        <w:t xml:space="preserve"> Ditzelfde geldt bij toepassing van full IFRS, uitsplitsing dient in de toelichting te gebeuren.</w:t>
      </w:r>
      <w:r>
        <w:rPr>
          <w:rStyle w:val="Voetnootmarkering"/>
        </w:rPr>
        <w:footnoteReference w:id="71"/>
      </w:r>
      <w:r>
        <w:t xml:space="preserve"> Het Nederlandse stelsel maakt wel gebruik van een vaste indeling, in art. 2:366 lid 1 is bepaald dat onder meer machines, bedrijfsgebouwen en terreinen apart moeten worden vermeld. Deze verplichting is ingesteld om een beter inzicht te verschaffen in de samenstelling van de post materiële activa. De onderverdeling moet duidelijk maken in welke categorieën materiële vaste activa een onderneming veel heeft geïnvesteerd</w:t>
      </w:r>
      <w:r>
        <w:rPr>
          <w:rStyle w:val="Voetnootmarkering"/>
        </w:rPr>
        <w:footnoteReference w:id="72"/>
      </w:r>
      <w:r>
        <w:t>.</w:t>
      </w:r>
    </w:p>
    <w:p w:rsidR="00780824" w:rsidRDefault="00780824" w:rsidP="00780824">
      <w:pPr>
        <w:spacing w:after="0" w:line="360" w:lineRule="auto"/>
      </w:pPr>
      <w:r>
        <w:t>De activeringscriteria voor materiële vaste activa zijn onder de drie stelsels gelijk. Er moet voldaan worden aan de volgende eisen</w:t>
      </w:r>
      <w:r>
        <w:rPr>
          <w:rStyle w:val="Voetnootmarkering"/>
        </w:rPr>
        <w:footnoteReference w:id="73"/>
      </w:r>
      <w:r>
        <w:t>:</w:t>
      </w:r>
    </w:p>
    <w:p w:rsidR="00780824" w:rsidRDefault="00780824" w:rsidP="00780824">
      <w:pPr>
        <w:pStyle w:val="Lijstalinea"/>
        <w:numPr>
          <w:ilvl w:val="0"/>
          <w:numId w:val="4"/>
        </w:numPr>
        <w:spacing w:after="0" w:line="360" w:lineRule="auto"/>
      </w:pPr>
      <w:r>
        <w:t>het moet waarschijnlijk zijn dat toekomstige economische voordelen uit het actief naar de rechtspersoon vloeien.</w:t>
      </w:r>
    </w:p>
    <w:p w:rsidR="00780824" w:rsidRDefault="00780824" w:rsidP="00780824">
      <w:pPr>
        <w:pStyle w:val="Lijstalinea"/>
        <w:numPr>
          <w:ilvl w:val="0"/>
          <w:numId w:val="4"/>
        </w:numPr>
        <w:spacing w:after="0" w:line="360" w:lineRule="auto"/>
      </w:pPr>
      <w:r>
        <w:t>de kosten van het actief moeten betrouwbaar zijn vast te stellen.</w:t>
      </w:r>
    </w:p>
    <w:p w:rsidR="00780824" w:rsidRDefault="00780824" w:rsidP="00780824">
      <w:pPr>
        <w:tabs>
          <w:tab w:val="right" w:pos="9072"/>
        </w:tabs>
        <w:spacing w:line="360" w:lineRule="auto"/>
      </w:pPr>
      <w:r>
        <w:t>Hierbij is het economisch eigendom bepalend voor activering, naast de bovenstaande eisen</w:t>
      </w:r>
      <w:r>
        <w:rPr>
          <w:rStyle w:val="Voetnootmarkering"/>
        </w:rPr>
        <w:footnoteReference w:id="74"/>
      </w:r>
      <w:r>
        <w:t xml:space="preserve">. </w:t>
      </w:r>
    </w:p>
    <w:p w:rsidR="00780824" w:rsidRDefault="00780824" w:rsidP="00780824">
      <w:pPr>
        <w:tabs>
          <w:tab w:val="right" w:pos="9072"/>
        </w:tabs>
        <w:spacing w:line="360" w:lineRule="auto"/>
      </w:pPr>
      <w:r>
        <w:t>Het grootste verschil tussen IFRS SME en de beide andere stelsels is gelegen in de toegestane waarderingsgrondslagen. Waar Dutch GAAP de mogelijkheid biedt tot waardering tegen kostprijs of actuele waarde</w:t>
      </w:r>
      <w:r>
        <w:rPr>
          <w:rStyle w:val="Voetnootmarkering"/>
        </w:rPr>
        <w:footnoteReference w:id="75"/>
      </w:r>
      <w:r>
        <w:t>, en full IFRS een optie heeft voor toepassing van kostprijs of reële waarde</w:t>
      </w:r>
      <w:r>
        <w:rPr>
          <w:rStyle w:val="Voetnootmarkering"/>
        </w:rPr>
        <w:footnoteReference w:id="76"/>
      </w:r>
      <w:r>
        <w:t xml:space="preserve">, is onder IFRS SME alleen waardering tegen </w:t>
      </w:r>
      <w:proofErr w:type="spellStart"/>
      <w:r>
        <w:t>verkrijgings</w:t>
      </w:r>
      <w:proofErr w:type="spellEnd"/>
      <w:r>
        <w:t xml:space="preserve">- of </w:t>
      </w:r>
      <w:proofErr w:type="spellStart"/>
      <w:r>
        <w:t>vervaardigingsprijs</w:t>
      </w:r>
      <w:proofErr w:type="spellEnd"/>
      <w:r>
        <w:t xml:space="preserve"> mogelijk</w:t>
      </w:r>
      <w:r>
        <w:rPr>
          <w:rStyle w:val="Voetnootmarkering"/>
        </w:rPr>
        <w:footnoteReference w:id="77"/>
      </w:r>
      <w:r>
        <w:t xml:space="preserve">. Bij toepassing van IFRS SME kan dus </w:t>
      </w:r>
      <w:r w:rsidRPr="00D31BE0">
        <w:rPr>
          <w:i/>
        </w:rPr>
        <w:t xml:space="preserve">geen </w:t>
      </w:r>
      <w:r>
        <w:t>gebruik worden gemaakt van de actuele of reële waarderingsgrondslag. Afschrijving over de economische levensduur dient ook onder IFRS SME plaats te vinden</w:t>
      </w:r>
      <w:r>
        <w:rPr>
          <w:rStyle w:val="Voetnootmarkering"/>
        </w:rPr>
        <w:footnoteReference w:id="78"/>
      </w:r>
      <w:r>
        <w:t xml:space="preserve">, maar herwaardering is dus niet toegestaan.  </w:t>
      </w:r>
    </w:p>
    <w:p w:rsidR="00780824" w:rsidRDefault="00780824" w:rsidP="00780824">
      <w:pPr>
        <w:tabs>
          <w:tab w:val="right" w:pos="9072"/>
        </w:tabs>
        <w:spacing w:line="360" w:lineRule="auto"/>
      </w:pPr>
      <w:r>
        <w:t>Een ander belangrijk verschil is gelegen in de verwerking van de kosten van groot onderhoud. Onder IFRS SME geldt, net als onder full IFRS</w:t>
      </w:r>
      <w:r>
        <w:rPr>
          <w:rStyle w:val="Voetnootmarkering"/>
        </w:rPr>
        <w:footnoteReference w:id="79"/>
      </w:r>
      <w:r>
        <w:t>, dat de componentenbenadering moet worden toegepast</w:t>
      </w:r>
      <w:r>
        <w:rPr>
          <w:rStyle w:val="Voetnootmarkering"/>
        </w:rPr>
        <w:footnoteReference w:id="80"/>
      </w:r>
      <w:r>
        <w:t xml:space="preserve">. </w:t>
      </w:r>
      <w:r>
        <w:lastRenderedPageBreak/>
        <w:t>Bij deze methode worden de uitgaven aan het actief toegewezen aan de verscheidene delen, waarna op elke component afzonderlijk wordt afgeschreven, op basis van het individuele waardeverloop van de diverse onderdelen</w:t>
      </w:r>
      <w:r>
        <w:rPr>
          <w:rStyle w:val="Voetnootmarkering"/>
        </w:rPr>
        <w:footnoteReference w:id="81"/>
      </w:r>
      <w:r>
        <w:t>. Ook onder Dutch Gaap is deze methode voorgeschreven, maar onder dit stelsel geldt dat ook gebruik gemaakt mag worden van een voorziening groot onderhoud, dan wel van verwerking in de winst- en verliesrekening</w:t>
      </w:r>
      <w:r>
        <w:rPr>
          <w:rStyle w:val="Voetnootmarkering"/>
        </w:rPr>
        <w:footnoteReference w:id="82"/>
      </w:r>
      <w:r>
        <w:t xml:space="preserve">. Hierbij komen de kosten van het groot onderhoud direct ten laste van het resultaat. </w:t>
      </w:r>
    </w:p>
    <w:p w:rsidR="00780824" w:rsidRDefault="00780824" w:rsidP="00780824">
      <w:pPr>
        <w:spacing w:line="360" w:lineRule="auto"/>
      </w:pPr>
      <w:r>
        <w:t>Een laatste verschil dat hier wordt besproken is de verwerking van rentekosten over materiële vaste activa. Onder IFRS SME worden deze direct ten laste van het resultaat gebracht, terwijl deze onder Nederlandse regelgeving en onder full IFRS kunnen worden opgenomen in de waarde van het actief. Deze waarde wordt dan verhoogd met de rentekosten, voor zover deze betrekking hebben op verkrijging of vervaardiging van het actief, waarna over deze hogere waarde wordt afgeschreven</w:t>
      </w:r>
      <w:r>
        <w:rPr>
          <w:rStyle w:val="Voetnootmarkering"/>
        </w:rPr>
        <w:footnoteReference w:id="83"/>
      </w:r>
      <w:r>
        <w:t xml:space="preserve">. Dit leidt tot hogere afschrijvingen over het actief in de toekomstige jaren. </w:t>
      </w:r>
    </w:p>
    <w:p w:rsidR="00780824" w:rsidRDefault="00780824" w:rsidP="00780824">
      <w:pPr>
        <w:spacing w:line="360" w:lineRule="auto"/>
        <w:rPr>
          <w:i/>
        </w:rPr>
      </w:pPr>
      <w:r>
        <w:rPr>
          <w:b/>
          <w:i/>
        </w:rPr>
        <w:t>Financiële vaste activa</w:t>
      </w:r>
    </w:p>
    <w:p w:rsidR="00780824" w:rsidRDefault="00780824" w:rsidP="00780824">
      <w:pPr>
        <w:spacing w:line="360" w:lineRule="auto"/>
      </w:pPr>
      <w:r>
        <w:t>In dit onderdeel zal de meeste aandacht gericht zijn op de waardering van deelnemingen, aangezien deze activa van groot belang zijn voor de verslaggeving. Naast de waardering op de vennootschappelijke balans spelen deelnemingen immers ook een grote rol bij eventuele consolidatie.</w:t>
      </w:r>
    </w:p>
    <w:p w:rsidR="00780824" w:rsidRDefault="00780824" w:rsidP="00780824">
      <w:pPr>
        <w:spacing w:after="0" w:line="360" w:lineRule="auto"/>
        <w:rPr>
          <w:i/>
        </w:rPr>
      </w:pPr>
      <w:r>
        <w:rPr>
          <w:i/>
        </w:rPr>
        <w:t>Deelnemingen</w:t>
      </w:r>
    </w:p>
    <w:p w:rsidR="00700FC5" w:rsidRDefault="00780824" w:rsidP="00780824">
      <w:pPr>
        <w:spacing w:line="360" w:lineRule="auto"/>
      </w:pPr>
      <w:r>
        <w:t xml:space="preserve">Het kerncriterium voor opname van beleggingen onder de post deelnemingen is het begrip </w:t>
      </w:r>
      <w:proofErr w:type="spellStart"/>
      <w:r>
        <w:rPr>
          <w:i/>
        </w:rPr>
        <w:t>control</w:t>
      </w:r>
      <w:proofErr w:type="spellEnd"/>
      <w:r>
        <w:rPr>
          <w:i/>
        </w:rPr>
        <w:t xml:space="preserve">. </w:t>
      </w:r>
      <w:r>
        <w:t xml:space="preserve">Op het moment dat een entiteit onder controle van een andere onderneming valt, is er sprake van een deelneming. In IFRS SME 9.4 is beschreven wanneer voldaan is aan de eis van </w:t>
      </w:r>
      <w:proofErr w:type="spellStart"/>
      <w:r>
        <w:t>control</w:t>
      </w:r>
      <w:proofErr w:type="spellEnd"/>
      <w:r>
        <w:t xml:space="preserve">. Er moet sprake zijn van een </w:t>
      </w:r>
      <w:r>
        <w:rPr>
          <w:i/>
        </w:rPr>
        <w:t xml:space="preserve">mogelijkheid </w:t>
      </w:r>
      <w:r>
        <w:t xml:space="preserve">om het financiële en operationele beleid van de entiteit te bepalen, op een zodanige manier dat daarmee voordelen worden behaald. De mogelijkheid hiertoe is voldoende, er moet sprake zijn van </w:t>
      </w:r>
      <w:r>
        <w:rPr>
          <w:i/>
        </w:rPr>
        <w:t xml:space="preserve">power to </w:t>
      </w:r>
      <w:proofErr w:type="spellStart"/>
      <w:r>
        <w:rPr>
          <w:i/>
        </w:rPr>
        <w:t>control</w:t>
      </w:r>
      <w:proofErr w:type="spellEnd"/>
      <w:r>
        <w:rPr>
          <w:i/>
        </w:rPr>
        <w:t>.</w:t>
      </w:r>
      <w:r>
        <w:t xml:space="preserve"> Ook onder full IFRS geldt dit criterium, het onderscheid in verschillende typen deelnemingen is niet van belang voor deze beschrijving</w:t>
      </w:r>
      <w:r>
        <w:rPr>
          <w:rStyle w:val="Voetnootmarkering"/>
        </w:rPr>
        <w:footnoteReference w:id="84"/>
      </w:r>
      <w:r>
        <w:t xml:space="preserve">. </w:t>
      </w:r>
    </w:p>
    <w:p w:rsidR="00700FC5" w:rsidRDefault="00700FC5" w:rsidP="00780824">
      <w:pPr>
        <w:spacing w:line="360" w:lineRule="auto"/>
      </w:pPr>
    </w:p>
    <w:p w:rsidR="00780824" w:rsidRDefault="00780824" w:rsidP="00780824">
      <w:pPr>
        <w:spacing w:line="360" w:lineRule="auto"/>
      </w:pPr>
      <w:r>
        <w:lastRenderedPageBreak/>
        <w:t>Naar Nederlandse wet- en regelgeving is er sprake van een deelneming indien een rechtspersoon kapitaal verschaft aan een dochtermaatschappij, teneinde duurzaam verbonden te zijn ten dienste van de eigen werkzaamheid</w:t>
      </w:r>
      <w:r>
        <w:rPr>
          <w:rStyle w:val="Voetnootmarkering"/>
        </w:rPr>
        <w:footnoteReference w:id="85"/>
      </w:r>
      <w:r>
        <w:t>. Een deelneming wordt volgens dit artikel vermoed aanwezig te zijn bij verschaffing van een vijfde of meer van het geplaatste kapitaal. In IFRS SME ontbreekt een vermoeden dat gebaseerd is op kapitaalverschaffing, maar een deelneming wordt wel vermoed op het moment dat de onderneming meer dan de helft van de stemrechten bezit, direct dan wel indirect</w:t>
      </w:r>
      <w:r>
        <w:rPr>
          <w:rStyle w:val="Voetnootmarkering"/>
        </w:rPr>
        <w:footnoteReference w:id="86"/>
      </w:r>
      <w:r>
        <w:t>.</w:t>
      </w:r>
    </w:p>
    <w:p w:rsidR="00780824" w:rsidRDefault="00780824" w:rsidP="00780824">
      <w:pPr>
        <w:spacing w:line="360" w:lineRule="auto"/>
      </w:pPr>
      <w:r>
        <w:t>Ook de waardering van deelnemingen is niet bij elk stelsel hetzelfde. Voor de waardering in de enkelvoudige jaarrekening geldt onder IFRS SME dat deelnemingen waarin de onderneming invloed van betekenis kan uitoefenen, moeten worden gewaardeerd tegen kostprijs of reële waarde. Bij de laatste optie worden waardeveranderingen gerapporteerd via de winst- en verliesrekening</w:t>
      </w:r>
      <w:r>
        <w:rPr>
          <w:rStyle w:val="Voetnootmarkering"/>
        </w:rPr>
        <w:footnoteReference w:id="87"/>
      </w:r>
      <w:r>
        <w:t xml:space="preserve">. Onder Dutch GAAP geldt dat dergelijke deelnemingen in beginsel worden gewaardeerd tegen </w:t>
      </w:r>
      <w:proofErr w:type="spellStart"/>
      <w:r>
        <w:t>netto-vermogenswaarde</w:t>
      </w:r>
      <w:proofErr w:type="spellEnd"/>
      <w:r>
        <w:t>, wat inhoudt dat de waarde wordt gesteld op het aandeel in het eigen vermogen. Dit eigen vermogen wordt berekend aan de hand van de grondslagen van de deelnemende onderneming</w:t>
      </w:r>
      <w:r>
        <w:rPr>
          <w:rStyle w:val="Voetnootmarkering"/>
        </w:rPr>
        <w:footnoteReference w:id="88"/>
      </w:r>
      <w:r>
        <w:t xml:space="preserve">. Onder full IFRS geldt dat gewaardeerd wordt tegen </w:t>
      </w:r>
      <w:proofErr w:type="spellStart"/>
      <w:r>
        <w:t>verkrijgingsprijs</w:t>
      </w:r>
      <w:proofErr w:type="spellEnd"/>
      <w:r>
        <w:t xml:space="preserve"> of reële waarde</w:t>
      </w:r>
      <w:r>
        <w:rPr>
          <w:rStyle w:val="Voetnootmarkering"/>
        </w:rPr>
        <w:footnoteReference w:id="89"/>
      </w:r>
      <w:r>
        <w:t xml:space="preserve">, net als onder IFRS SME. Gebruik van de </w:t>
      </w:r>
      <w:proofErr w:type="spellStart"/>
      <w:r>
        <w:t>nettovermogenswaarde</w:t>
      </w:r>
      <w:proofErr w:type="spellEnd"/>
      <w:r>
        <w:t xml:space="preserve"> is niet toegestaan voor waardering in de enkelvoudige jaarrekening. </w:t>
      </w:r>
    </w:p>
    <w:p w:rsidR="00780824" w:rsidRDefault="00780824" w:rsidP="00780824">
      <w:pPr>
        <w:spacing w:line="360" w:lineRule="auto"/>
      </w:pPr>
      <w:r>
        <w:t>Voor deelnemingen waarop de onderneming geen invloed van betekenis kan uitoefenen</w:t>
      </w:r>
      <w:r>
        <w:rPr>
          <w:rStyle w:val="Voetnootmarkering"/>
        </w:rPr>
        <w:footnoteReference w:id="90"/>
      </w:r>
      <w:r>
        <w:t>, geldt dat deze gewaardeerd worden tegen reële waarde bij toepassing van IFRS SME</w:t>
      </w:r>
      <w:r>
        <w:rPr>
          <w:rStyle w:val="Voetnootmarkering"/>
        </w:rPr>
        <w:footnoteReference w:id="91"/>
      </w:r>
      <w:r>
        <w:t xml:space="preserve"> en full IFRS. Onder Nederlandse regelgeving is ook waardering tegen </w:t>
      </w:r>
      <w:proofErr w:type="spellStart"/>
      <w:r>
        <w:t>verkrijgingsprijs</w:t>
      </w:r>
      <w:proofErr w:type="spellEnd"/>
      <w:r>
        <w:t xml:space="preserve"> mogelijk</w:t>
      </w:r>
      <w:r>
        <w:rPr>
          <w:rStyle w:val="Voetnootmarkering"/>
        </w:rPr>
        <w:footnoteReference w:id="92"/>
      </w:r>
      <w:r>
        <w:t xml:space="preserve">. De waardering in de geconsolideerde jaarrekening van overige deelnemingen is gelijk aan de waardering in de enkelvoudige jaarrekening. </w:t>
      </w:r>
    </w:p>
    <w:p w:rsidR="00700FC5" w:rsidRDefault="00780824" w:rsidP="00780824">
      <w:pPr>
        <w:spacing w:after="0" w:line="360" w:lineRule="auto"/>
      </w:pPr>
      <w:r>
        <w:t xml:space="preserve">Voor deelnemingen waarop de onderneming invloed van betekenis kan uitoefenen, geldt dat waardering in de geconsolideerde jaarrekening af kan wijken van waardering in de enkelvoudige jaarrekening. Onder Dutch GAAP geldt in beginsel ook hier dat er gewaardeerd wordt tegen </w:t>
      </w:r>
      <w:proofErr w:type="spellStart"/>
      <w:r>
        <w:t>netto-vermogenswaarde</w:t>
      </w:r>
      <w:proofErr w:type="spellEnd"/>
      <w:r>
        <w:rPr>
          <w:rStyle w:val="Voetnootmarkering"/>
        </w:rPr>
        <w:footnoteReference w:id="93"/>
      </w:r>
      <w:r>
        <w:t xml:space="preserve">, maar onder full IFRS dient de </w:t>
      </w:r>
      <w:proofErr w:type="spellStart"/>
      <w:r>
        <w:t>equity-methode</w:t>
      </w:r>
      <w:proofErr w:type="spellEnd"/>
      <w:r>
        <w:t xml:space="preserve"> toegepast te worden</w:t>
      </w:r>
      <w:r>
        <w:rPr>
          <w:rStyle w:val="Voetnootmarkering"/>
        </w:rPr>
        <w:footnoteReference w:id="94"/>
      </w:r>
      <w:r>
        <w:t xml:space="preserve">. </w:t>
      </w:r>
    </w:p>
    <w:p w:rsidR="00780824" w:rsidRDefault="00780824" w:rsidP="00780824">
      <w:pPr>
        <w:spacing w:after="0" w:line="360" w:lineRule="auto"/>
      </w:pPr>
      <w:r>
        <w:lastRenderedPageBreak/>
        <w:t xml:space="preserve">Deze methode verschilt in zoverre van de </w:t>
      </w:r>
      <w:proofErr w:type="spellStart"/>
      <w:r>
        <w:t>netto-vermogenswaarde</w:t>
      </w:r>
      <w:proofErr w:type="spellEnd"/>
      <w:r>
        <w:t>, dat goodwill niet apart wordt opgenomen onder de post immateriële vaste activa, maar dat deze in de waarde van de deelneming wordt begrepen</w:t>
      </w:r>
      <w:r>
        <w:rPr>
          <w:rStyle w:val="Voetnootmarkering"/>
        </w:rPr>
        <w:footnoteReference w:id="95"/>
      </w:r>
      <w:r>
        <w:t xml:space="preserve">. Dit houdt in dat de </w:t>
      </w:r>
      <w:proofErr w:type="spellStart"/>
      <w:r>
        <w:t>verkrijgingsprijs</w:t>
      </w:r>
      <w:proofErr w:type="spellEnd"/>
      <w:r>
        <w:t xml:space="preserve"> wordt aangehouden als eerste waarde, zonder correctie voor goodwill. De goodwill komt vervolgens tot uitdrukking bij consolidatie van de jaarrekeningen, waarbij deze afzonderlijk tot uitdrukking komt</w:t>
      </w:r>
      <w:r>
        <w:rPr>
          <w:rStyle w:val="Voetnootmarkering"/>
        </w:rPr>
        <w:footnoteReference w:id="96"/>
      </w:r>
      <w:r>
        <w:t xml:space="preserve">. Onder IFRS SME kan een onderneming kiezen tussen gebruik van de kostprijs, de </w:t>
      </w:r>
      <w:proofErr w:type="spellStart"/>
      <w:r>
        <w:t>equity-methode</w:t>
      </w:r>
      <w:proofErr w:type="spellEnd"/>
      <w:r>
        <w:t xml:space="preserve"> en de reële waarde</w:t>
      </w:r>
      <w:r>
        <w:rPr>
          <w:rStyle w:val="Voetnootmarkering"/>
        </w:rPr>
        <w:footnoteReference w:id="97"/>
      </w:r>
      <w:r>
        <w:t xml:space="preserve">. </w:t>
      </w:r>
    </w:p>
    <w:p w:rsidR="00780824" w:rsidRDefault="00780824" w:rsidP="00780824">
      <w:pPr>
        <w:spacing w:after="0" w:line="360" w:lineRule="auto"/>
      </w:pPr>
      <w:r>
        <w:t xml:space="preserve">Een laatste belangrijk verschil tussen Dutch GAAP enerzijds, en IFRS SME en full IFRS anderzijds is dat de Nederlandse regelgeving een </w:t>
      </w:r>
      <w:proofErr w:type="spellStart"/>
      <w:r>
        <w:t>mutatie-overzicht</w:t>
      </w:r>
      <w:proofErr w:type="spellEnd"/>
      <w:r>
        <w:t xml:space="preserve"> eist van elke post die valt onder de financiële vaste activa</w:t>
      </w:r>
      <w:r>
        <w:rPr>
          <w:rStyle w:val="Voetnootmarkering"/>
        </w:rPr>
        <w:footnoteReference w:id="98"/>
      </w:r>
      <w:r>
        <w:t xml:space="preserve">. Onder de </w:t>
      </w:r>
      <w:proofErr w:type="spellStart"/>
      <w:r>
        <w:t>IFRS-stelsels</w:t>
      </w:r>
      <w:proofErr w:type="spellEnd"/>
      <w:r>
        <w:t xml:space="preserve"> geldt deze verplichting niet.</w:t>
      </w:r>
    </w:p>
    <w:p w:rsidR="00780824" w:rsidRDefault="00780824" w:rsidP="00780824">
      <w:pPr>
        <w:spacing w:after="0" w:line="360" w:lineRule="auto"/>
      </w:pPr>
    </w:p>
    <w:p w:rsidR="00780824" w:rsidRDefault="00780824" w:rsidP="00780824">
      <w:pPr>
        <w:spacing w:after="0" w:line="360" w:lineRule="auto"/>
        <w:rPr>
          <w:b/>
        </w:rPr>
      </w:pPr>
      <w:r>
        <w:rPr>
          <w:b/>
        </w:rPr>
        <w:t xml:space="preserve">4.3.2 Vlottende activa </w:t>
      </w:r>
    </w:p>
    <w:p w:rsidR="00780824" w:rsidRDefault="00780824" w:rsidP="00780824">
      <w:pPr>
        <w:spacing w:after="0" w:line="360" w:lineRule="auto"/>
        <w:rPr>
          <w:b/>
          <w:i/>
        </w:rPr>
      </w:pPr>
      <w:r>
        <w:rPr>
          <w:b/>
          <w:i/>
        </w:rPr>
        <w:t>Voorraden</w:t>
      </w:r>
    </w:p>
    <w:p w:rsidR="009A0204" w:rsidRDefault="00780824" w:rsidP="00780824">
      <w:pPr>
        <w:spacing w:after="0" w:line="360" w:lineRule="auto"/>
      </w:pPr>
      <w:r>
        <w:t>De waardering van de post voorraden is onder IFRS SME strikt gereguleerd. De enige optie die ondernemingen geboden wordt, is waardering tegen historische kostprijs</w:t>
      </w:r>
      <w:r>
        <w:rPr>
          <w:rStyle w:val="Voetnootmarkering"/>
        </w:rPr>
        <w:footnoteReference w:id="99"/>
      </w:r>
      <w:r>
        <w:t xml:space="preserve">. Hierbij kan alleen gekozen worden voor de </w:t>
      </w:r>
      <w:proofErr w:type="spellStart"/>
      <w:r>
        <w:t>FIFO-methode</w:t>
      </w:r>
      <w:proofErr w:type="spellEnd"/>
      <w:r>
        <w:t xml:space="preserve"> of voor waardering tegen de </w:t>
      </w:r>
      <w:proofErr w:type="spellStart"/>
      <w:r>
        <w:t>weighted</w:t>
      </w:r>
      <w:proofErr w:type="spellEnd"/>
      <w:r>
        <w:t xml:space="preserve"> average </w:t>
      </w:r>
      <w:proofErr w:type="spellStart"/>
      <w:r>
        <w:t>cost</w:t>
      </w:r>
      <w:proofErr w:type="spellEnd"/>
      <w:r>
        <w:t xml:space="preserve">, de </w:t>
      </w:r>
      <w:proofErr w:type="spellStart"/>
      <w:r>
        <w:t>LIFO-methode</w:t>
      </w:r>
      <w:proofErr w:type="spellEnd"/>
      <w:r>
        <w:t xml:space="preserve"> is expliciet verboden</w:t>
      </w:r>
      <w:r>
        <w:rPr>
          <w:rStyle w:val="Voetnootmarkering"/>
        </w:rPr>
        <w:footnoteReference w:id="100"/>
      </w:r>
      <w:r>
        <w:t>. Wel dient rekening gehouden te worden met de opbrengstwaarde: als deze naar verwachting lager is dan de kostprijs, dient waardering tegen opbrengstwaarde plaats te vinden</w:t>
      </w:r>
      <w:r>
        <w:rPr>
          <w:rStyle w:val="Voetnootmarkering"/>
        </w:rPr>
        <w:footnoteReference w:id="101"/>
      </w:r>
      <w:r>
        <w:t xml:space="preserve">. Hiermee komen de waarderingsgrondslagen voor de post voorraden overeen met de eisen die gesteld worden in IAS 2 </w:t>
      </w:r>
      <w:proofErr w:type="spellStart"/>
      <w:r>
        <w:t>Inventories</w:t>
      </w:r>
      <w:proofErr w:type="spellEnd"/>
      <w:r>
        <w:t xml:space="preserve"> in het kader van full IFRS</w:t>
      </w:r>
      <w:r>
        <w:rPr>
          <w:rStyle w:val="Voetnootmarkering"/>
        </w:rPr>
        <w:footnoteReference w:id="102"/>
      </w:r>
      <w:r>
        <w:t xml:space="preserve">. De voornaamste reden dat gebruik van de </w:t>
      </w:r>
      <w:proofErr w:type="spellStart"/>
      <w:r>
        <w:t>LIFO-methode</w:t>
      </w:r>
      <w:proofErr w:type="spellEnd"/>
      <w:r>
        <w:t xml:space="preserve"> is verboden onder IFRS (SME) is dat dit leidt tot het gebruik van oude prijzen bij de waardering van de voorraad op de balans. Deze informatie is niet relevant voor gebruikers, zeker in de </w:t>
      </w:r>
      <w:proofErr w:type="spellStart"/>
      <w:r>
        <w:t>balance</w:t>
      </w:r>
      <w:proofErr w:type="spellEnd"/>
      <w:r>
        <w:t xml:space="preserve"> sheet </w:t>
      </w:r>
      <w:proofErr w:type="spellStart"/>
      <w:r>
        <w:t>approach</w:t>
      </w:r>
      <w:proofErr w:type="spellEnd"/>
      <w:r>
        <w:t xml:space="preserve"> die de IASB aanhangt waarbij het belang van de balans groter is dan dat van de resultatenrekening</w:t>
      </w:r>
      <w:r>
        <w:rPr>
          <w:rStyle w:val="Voetnootmarkering"/>
        </w:rPr>
        <w:footnoteReference w:id="103"/>
      </w:r>
      <w:r>
        <w:t xml:space="preserve">. De Nederlandse regelgeving met betrekking tot voorraden wijkt enigszins af van deze waarderingsgrondslagen. Zoals blijkt uit 2:384 lid 1 BW en RJ 220.301 is, naast waardering tegen historische kostprijs, ook waardering tegen actuele waarde toegestaan. </w:t>
      </w:r>
    </w:p>
    <w:p w:rsidR="00780824" w:rsidRDefault="00780824" w:rsidP="00780824">
      <w:pPr>
        <w:spacing w:after="0" w:line="360" w:lineRule="auto"/>
      </w:pPr>
      <w:r>
        <w:lastRenderedPageBreak/>
        <w:t>Voorraden die worden vervangen moeten in dit geval worden gewaardeerd tegen de laagste van vervangingswaarde en opbrengstwaarde, voorraden die niet worden vervangen worden gewaardeerd tegen opbrengstwaarde</w:t>
      </w:r>
      <w:r>
        <w:rPr>
          <w:rStyle w:val="Voetnootmarkering"/>
        </w:rPr>
        <w:footnoteReference w:id="104"/>
      </w:r>
      <w:r>
        <w:t>. Eventuele herwaarderingen gaan naar de herwaarderingsreserve</w:t>
      </w:r>
      <w:r>
        <w:rPr>
          <w:rStyle w:val="Voetnootmarkering"/>
        </w:rPr>
        <w:footnoteReference w:id="105"/>
      </w:r>
      <w:r>
        <w:t xml:space="preserve">. Bij waardering tegen historische kostprijs mag ook de </w:t>
      </w:r>
      <w:proofErr w:type="spellStart"/>
      <w:r>
        <w:t>LIFO-methode</w:t>
      </w:r>
      <w:proofErr w:type="spellEnd"/>
      <w:r>
        <w:rPr>
          <w:rStyle w:val="Voetnootmarkering"/>
        </w:rPr>
        <w:footnoteReference w:id="106"/>
      </w:r>
      <w:r>
        <w:t xml:space="preserve"> worden toegepast, zo blijkt uit RJ 220.203. Wel moet in de toelichting uiteengezet worden wat voor verschillen toepassing van de </w:t>
      </w:r>
      <w:proofErr w:type="spellStart"/>
      <w:r>
        <w:t>LIFO-methode</w:t>
      </w:r>
      <w:proofErr w:type="spellEnd"/>
      <w:r>
        <w:t xml:space="preserve"> veroorzaakt voor het eigen vermogen, in een vergelijking met de </w:t>
      </w:r>
      <w:proofErr w:type="spellStart"/>
      <w:r>
        <w:t>FIFO-methode</w:t>
      </w:r>
      <w:proofErr w:type="spellEnd"/>
      <w:r>
        <w:t xml:space="preserve"> of de </w:t>
      </w:r>
      <w:proofErr w:type="spellStart"/>
      <w:r>
        <w:t>weighted</w:t>
      </w:r>
      <w:proofErr w:type="spellEnd"/>
      <w:r>
        <w:t xml:space="preserve"> average </w:t>
      </w:r>
      <w:proofErr w:type="spellStart"/>
      <w:r>
        <w:t>cost</w:t>
      </w:r>
      <w:proofErr w:type="spellEnd"/>
      <w:r>
        <w:t xml:space="preserve"> methode</w:t>
      </w:r>
      <w:r>
        <w:rPr>
          <w:rStyle w:val="Voetnootmarkering"/>
        </w:rPr>
        <w:footnoteReference w:id="107"/>
      </w:r>
      <w:r>
        <w:t xml:space="preserve">. Hieruit blijkt dat ook bij de RJ één van deze twee methoden de voorkeur geniet. </w:t>
      </w:r>
    </w:p>
    <w:p w:rsidR="00780824" w:rsidRDefault="00780824" w:rsidP="00780824">
      <w:pPr>
        <w:spacing w:line="360" w:lineRule="auto"/>
      </w:pPr>
      <w:r>
        <w:t xml:space="preserve">De presentatie van de post voorraden wordt bij IFRS SME overgelaten aan het oordeel van de onderneming. Er is, net als onder full IFRS geen sprake van een verplichte opsplitsing. De Nederlandse wet- en regelgeving kent wel een verplichte opsplitsing. In art. 2:369 BW is vastgelegd dat een aantal categorieën, waaronder grondstoffen, onderhanden projecten en voorraad gereed product, apart vermeld moeten worden in de balans of in de toelichting. </w:t>
      </w:r>
    </w:p>
    <w:p w:rsidR="00780824" w:rsidRDefault="00780824" w:rsidP="00780824">
      <w:pPr>
        <w:spacing w:line="360" w:lineRule="auto"/>
        <w:rPr>
          <w:b/>
          <w:i/>
        </w:rPr>
      </w:pPr>
      <w:r>
        <w:rPr>
          <w:b/>
          <w:i/>
        </w:rPr>
        <w:t>Vorderingen</w:t>
      </w:r>
    </w:p>
    <w:p w:rsidR="00780824" w:rsidRDefault="00780824" w:rsidP="00780824">
      <w:pPr>
        <w:spacing w:line="360" w:lineRule="auto"/>
      </w:pPr>
      <w:r>
        <w:t>De voornaamste categorie vorderingen die zal spelen bij het midden- en kleinbedrijf bestaat uit vorderingen op handelsdebiteuren. Deze valt onder de noemer basale financiële instrumenten</w:t>
      </w:r>
      <w:r>
        <w:rPr>
          <w:rStyle w:val="Voetnootmarkering"/>
        </w:rPr>
        <w:footnoteReference w:id="108"/>
      </w:r>
      <w:r>
        <w:t xml:space="preserve">. Onder IFRS SME wordt gebruik gemaakt van de </w:t>
      </w:r>
      <w:proofErr w:type="spellStart"/>
      <w:r>
        <w:t>verkrijgingsprijs</w:t>
      </w:r>
      <w:proofErr w:type="spellEnd"/>
      <w:r>
        <w:t xml:space="preserve"> als eerste waarde</w:t>
      </w:r>
      <w:r>
        <w:rPr>
          <w:rStyle w:val="Voetnootmarkering"/>
        </w:rPr>
        <w:footnoteReference w:id="109"/>
      </w:r>
      <w:r>
        <w:t>, waarna in het vervolg de geamortiseerde kostprijs</w:t>
      </w:r>
      <w:r>
        <w:rPr>
          <w:rStyle w:val="Voetnootmarkering"/>
        </w:rPr>
        <w:footnoteReference w:id="110"/>
      </w:r>
      <w:r>
        <w:t xml:space="preserve"> wordt aangehouden</w:t>
      </w:r>
      <w:r>
        <w:rPr>
          <w:rStyle w:val="Voetnootmarkering"/>
        </w:rPr>
        <w:footnoteReference w:id="111"/>
      </w:r>
      <w:r>
        <w:t>. Onder full IFRS wordt de reële waarde toegepast als eerste waarde, net als onder Dutch GAAP</w:t>
      </w:r>
      <w:r>
        <w:rPr>
          <w:rStyle w:val="Voetnootmarkering"/>
        </w:rPr>
        <w:footnoteReference w:id="112"/>
      </w:r>
      <w:r>
        <w:t>. Ook hier wordt vervolgens gebruik gemaakt van de geamortiseerde kostprijs</w:t>
      </w:r>
      <w:r>
        <w:rPr>
          <w:rStyle w:val="Voetnootmarkering"/>
        </w:rPr>
        <w:footnoteReference w:id="113"/>
      </w:r>
      <w:r>
        <w:t>. Uit 2:370 lid 1 BW vloeit voor dat vorderingen op handelsdebiteuren apart vermeld dienen te worden volgens de Nederlandse wet- en regelgeving, een voorschrift dat ontbreekt in full IFRS en IFRS SME.</w:t>
      </w:r>
    </w:p>
    <w:p w:rsidR="009A0204" w:rsidRDefault="009A0204" w:rsidP="00780824">
      <w:pPr>
        <w:spacing w:line="360" w:lineRule="auto"/>
        <w:rPr>
          <w:b/>
          <w:i/>
        </w:rPr>
      </w:pPr>
    </w:p>
    <w:p w:rsidR="00780824" w:rsidRDefault="00780824" w:rsidP="00780824">
      <w:pPr>
        <w:spacing w:line="360" w:lineRule="auto"/>
        <w:rPr>
          <w:b/>
          <w:i/>
        </w:rPr>
      </w:pPr>
      <w:r>
        <w:rPr>
          <w:b/>
          <w:i/>
        </w:rPr>
        <w:lastRenderedPageBreak/>
        <w:t>Liquide middelen</w:t>
      </w:r>
    </w:p>
    <w:p w:rsidR="00780824" w:rsidRDefault="00780824" w:rsidP="00780824">
      <w:pPr>
        <w:spacing w:line="360" w:lineRule="auto"/>
      </w:pPr>
      <w:r>
        <w:t xml:space="preserve">De post liquide middelen wordt tegen nominale waarde gewaardeerd, zowel onder IFRS SME, als onder Dutch GAAP en onder full IFRS. </w:t>
      </w:r>
    </w:p>
    <w:p w:rsidR="00780824" w:rsidRPr="00CF0AF7" w:rsidRDefault="00780824" w:rsidP="00780824">
      <w:pPr>
        <w:spacing w:line="360" w:lineRule="auto"/>
        <w:rPr>
          <w:b/>
        </w:rPr>
      </w:pPr>
      <w:r w:rsidRPr="00CF0AF7">
        <w:rPr>
          <w:b/>
        </w:rPr>
        <w:t xml:space="preserve">4.3.3 Passiva </w:t>
      </w:r>
    </w:p>
    <w:p w:rsidR="00780824" w:rsidRDefault="00780824" w:rsidP="00780824">
      <w:pPr>
        <w:spacing w:line="360" w:lineRule="auto"/>
        <w:rPr>
          <w:b/>
          <w:i/>
        </w:rPr>
      </w:pPr>
      <w:r>
        <w:rPr>
          <w:b/>
          <w:i/>
        </w:rPr>
        <w:t>Eigen vermogen</w:t>
      </w:r>
    </w:p>
    <w:p w:rsidR="00780824" w:rsidRPr="007F6FE2" w:rsidRDefault="00780824" w:rsidP="00780824">
      <w:pPr>
        <w:spacing w:line="360" w:lineRule="auto"/>
      </w:pPr>
      <w:r>
        <w:t>De presentatie van het eigen vermogen in de Nederlandse wet- en regelgeving is sterk gereguleerd. Uit artikel 2:373 lid 1 BW vloeit voort dat er een verplichte indeling moet worden gevolgd bij het opstellen van de balans. Apart vermeld worden het geplaatste kapitaal, het agio</w:t>
      </w:r>
      <w:r>
        <w:rPr>
          <w:rStyle w:val="Voetnootmarkering"/>
        </w:rPr>
        <w:footnoteReference w:id="114"/>
      </w:r>
      <w:r>
        <w:t>, de reserves</w:t>
      </w:r>
      <w:r>
        <w:rPr>
          <w:rStyle w:val="Voetnootmarkering"/>
        </w:rPr>
        <w:footnoteReference w:id="115"/>
      </w:r>
      <w:r>
        <w:t xml:space="preserve"> en de niet-verdeelde winsten. In de </w:t>
      </w:r>
      <w:proofErr w:type="spellStart"/>
      <w:r>
        <w:t>SME-standaard</w:t>
      </w:r>
      <w:proofErr w:type="spellEnd"/>
      <w:r>
        <w:t xml:space="preserve"> is ook een verplichting tot uitsplitsing aanwezig, maar deze is minder strikt dan de eis uit het Burgerlijk Wetboek. Paragraaf 4.11 van de IFRS </w:t>
      </w:r>
      <w:proofErr w:type="spellStart"/>
      <w:r>
        <w:t>SME-standaard</w:t>
      </w:r>
      <w:proofErr w:type="spellEnd"/>
      <w:r>
        <w:t xml:space="preserve"> eist een splitsing van het eigen vermogen, waarbij aandacht besteed moet worden aan het aandelenkapitaal, het agio, de winstreserve en kosten en opbrengsten die direct in het vermogen zijn verantwoord. Dit kan gebeuren in de balans </w:t>
      </w:r>
      <w:r>
        <w:rPr>
          <w:i/>
        </w:rPr>
        <w:t xml:space="preserve">of in de toelichting. </w:t>
      </w:r>
      <w:r>
        <w:t>Ook onder full IFRS is slechts een beperkte opsplitsing van het eigen vermogen verplicht gesteld, en ook hier is het voldoende als dit in de toelichting gebeurt</w:t>
      </w:r>
      <w:r>
        <w:rPr>
          <w:rStyle w:val="Voetnootmarkering"/>
        </w:rPr>
        <w:footnoteReference w:id="116"/>
      </w:r>
      <w:r>
        <w:t xml:space="preserve">. Wel moet op de balans vermeld worden wat het geplaatst kapitaal is en hoe groot de uitkeerbare reserves zijn, zo blijkt uit IAS 1.54. </w:t>
      </w:r>
    </w:p>
    <w:p w:rsidR="00780824" w:rsidRDefault="00780824" w:rsidP="00780824">
      <w:pPr>
        <w:spacing w:line="360" w:lineRule="auto"/>
      </w:pPr>
      <w:r>
        <w:t>Het verschijnsel ‘wettelijke reserves’ dat naar voren komt in de Nederlandse wet- en regelgeving</w:t>
      </w:r>
      <w:r>
        <w:rPr>
          <w:rStyle w:val="Voetnootmarkering"/>
        </w:rPr>
        <w:footnoteReference w:id="117"/>
      </w:r>
      <w:r>
        <w:t>, ontbreekt in IFRS SME en in full IFRS. Een dergelijk begrip kent men bij deze instanties niet.</w:t>
      </w:r>
    </w:p>
    <w:p w:rsidR="009A0204" w:rsidRDefault="00780824" w:rsidP="00780824">
      <w:pPr>
        <w:spacing w:line="360" w:lineRule="auto"/>
      </w:pPr>
      <w:r>
        <w:t xml:space="preserve">Onder IFRS SME geldt dat de </w:t>
      </w:r>
      <w:proofErr w:type="spellStart"/>
      <w:r>
        <w:rPr>
          <w:i/>
        </w:rPr>
        <w:t>substance</w:t>
      </w:r>
      <w:proofErr w:type="spellEnd"/>
      <w:r>
        <w:t xml:space="preserve"> bepalend is voor de kwalificatie van financiële instrumenten als eigen vermogen of als vreemd vermogen. De inhoud is dus bepalend, waarbij er sprake is van eigen vermogen op het moment dat er niet voldaan is aan de voorwaarden die gelden voor vreemd vermogen. </w:t>
      </w:r>
      <w:r w:rsidRPr="00CE3D02">
        <w:rPr>
          <w:i/>
          <w:lang w:val="en-US"/>
        </w:rPr>
        <w:t>‘Equity is the residual interest in the assets of an entity after deducting all its liabilities</w:t>
      </w:r>
      <w:r>
        <w:rPr>
          <w:i/>
          <w:lang w:val="en-US"/>
        </w:rPr>
        <w:t xml:space="preserve">’, </w:t>
      </w:r>
      <w:proofErr w:type="spellStart"/>
      <w:r>
        <w:rPr>
          <w:lang w:val="en-US"/>
        </w:rPr>
        <w:t>zoals</w:t>
      </w:r>
      <w:proofErr w:type="spellEnd"/>
      <w:r>
        <w:rPr>
          <w:lang w:val="en-US"/>
        </w:rPr>
        <w:t xml:space="preserve"> </w:t>
      </w:r>
      <w:proofErr w:type="spellStart"/>
      <w:r>
        <w:rPr>
          <w:lang w:val="en-US"/>
        </w:rPr>
        <w:t>omschreven</w:t>
      </w:r>
      <w:proofErr w:type="spellEnd"/>
      <w:r>
        <w:rPr>
          <w:lang w:val="en-US"/>
        </w:rPr>
        <w:t xml:space="preserve"> in IFRS SME 22.3. </w:t>
      </w:r>
      <w:r w:rsidRPr="00CE3D02">
        <w:t>In dezelfde paragraaf wordt de omschrijving van vreemd vermo</w:t>
      </w:r>
      <w:r>
        <w:t xml:space="preserve">gen gegeven, als een verplichting. Een </w:t>
      </w:r>
      <w:proofErr w:type="spellStart"/>
      <w:r>
        <w:rPr>
          <w:i/>
        </w:rPr>
        <w:t>liability</w:t>
      </w:r>
      <w:proofErr w:type="spellEnd"/>
      <w:r>
        <w:rPr>
          <w:i/>
        </w:rPr>
        <w:t xml:space="preserve"> </w:t>
      </w:r>
      <w:r>
        <w:t xml:space="preserve">wordt uitgelegd als een verplichting op dit moment, die voortvloeit uit een vroegere gebeurtenis, waarvan de afwikkeling naar verwachting zal leiden tot het uitvloeien van vermogen. </w:t>
      </w:r>
    </w:p>
    <w:p w:rsidR="009A0204" w:rsidRDefault="00780824" w:rsidP="00780824">
      <w:pPr>
        <w:spacing w:line="360" w:lineRule="auto"/>
      </w:pPr>
      <w:r>
        <w:t>Het kan hierbij gaan om een contractuele verplichting of een voorwaardelijke verplichting waarbij de onderneming geen zeggenschap heeft over het voldoen aan de voorwaarden</w:t>
      </w:r>
      <w:r>
        <w:rPr>
          <w:rStyle w:val="Voetnootmarkering"/>
        </w:rPr>
        <w:footnoteReference w:id="118"/>
      </w:r>
      <w:r>
        <w:t xml:space="preserve">. </w:t>
      </w:r>
    </w:p>
    <w:p w:rsidR="00780824" w:rsidRDefault="00780824" w:rsidP="00780824">
      <w:pPr>
        <w:spacing w:line="360" w:lineRule="auto"/>
      </w:pPr>
      <w:r>
        <w:lastRenderedPageBreak/>
        <w:t xml:space="preserve">Onder full IFRS gelden dezelfde voorwaarden, ook hier vormt </w:t>
      </w:r>
      <w:proofErr w:type="spellStart"/>
      <w:r w:rsidRPr="00FD3CAF">
        <w:rPr>
          <w:i/>
        </w:rPr>
        <w:t>equity</w:t>
      </w:r>
      <w:proofErr w:type="spellEnd"/>
      <w:r>
        <w:t xml:space="preserve"> een restcategorie en is de inhoud bepalend</w:t>
      </w:r>
      <w:r>
        <w:rPr>
          <w:rStyle w:val="Voetnootmarkering"/>
        </w:rPr>
        <w:footnoteReference w:id="119"/>
      </w:r>
      <w:r>
        <w:t xml:space="preserve">. Om duidelijkheid te verschaffen over het begrip ‘voorwaardelijke verplichting’ volgt een voorbeeld. Een onderneming kan hebben toegezegd aan een derde om eigen aandelen in te kopen indien deze derde gebruik wenst te maken van deze optie. Er is dan sprake van een voorwaardelijke verplichting van de onderneming, waarbij de voorwaarde bestaat uit het uitoefenen van de optie door de derde. Hierover heeft de onderneming geen enkele zeggenschap, dus is er sprake van een </w:t>
      </w:r>
      <w:proofErr w:type="spellStart"/>
      <w:r>
        <w:rPr>
          <w:i/>
        </w:rPr>
        <w:t>liability</w:t>
      </w:r>
      <w:proofErr w:type="spellEnd"/>
      <w:r>
        <w:rPr>
          <w:i/>
        </w:rPr>
        <w:t xml:space="preserve"> </w:t>
      </w:r>
      <w:r>
        <w:t>die de onderneming op de balans moet opnemen onder de financiële verplichtingen. De Nederlandse wet- en regelgeving hanteert bij de kwalificatie van financiële instrumenten een formeel onderscheid. In de enkelvoudige jaarrekening is de juridische vorm bepalend voor kwalificatie als eigen of vreemd vermogen</w:t>
      </w:r>
      <w:r>
        <w:rPr>
          <w:rStyle w:val="Voetnootmarkering"/>
        </w:rPr>
        <w:footnoteReference w:id="120"/>
      </w:r>
      <w:r>
        <w:t>, terwijl de economische realiteit bepalend is bij het opstellen van de geconsolideerde jaarrekening</w:t>
      </w:r>
      <w:r>
        <w:rPr>
          <w:rStyle w:val="Voetnootmarkering"/>
        </w:rPr>
        <w:footnoteReference w:id="121"/>
      </w:r>
      <w:r>
        <w:t>.</w:t>
      </w:r>
    </w:p>
    <w:p w:rsidR="00780824" w:rsidRDefault="00780824" w:rsidP="00780824">
      <w:pPr>
        <w:spacing w:line="360" w:lineRule="auto"/>
        <w:rPr>
          <w:b/>
          <w:i/>
        </w:rPr>
      </w:pPr>
      <w:r>
        <w:rPr>
          <w:b/>
          <w:i/>
        </w:rPr>
        <w:t>Voorzieningen</w:t>
      </w:r>
    </w:p>
    <w:p w:rsidR="00780824" w:rsidRDefault="00780824" w:rsidP="00780824">
      <w:pPr>
        <w:tabs>
          <w:tab w:val="left" w:pos="1995"/>
        </w:tabs>
        <w:spacing w:line="360" w:lineRule="auto"/>
      </w:pPr>
      <w:r>
        <w:t xml:space="preserve">Voorzieningen worden in IFRS SME behandeld als een afzonderlijk onderdeel van de balans, dat deel uitmaakt van de verplichtingen, en dus nadrukkelijk </w:t>
      </w:r>
      <w:r w:rsidRPr="005922F6">
        <w:rPr>
          <w:i/>
        </w:rPr>
        <w:t xml:space="preserve">geen </w:t>
      </w:r>
      <w:r>
        <w:t xml:space="preserve">eigen vermogen is. Afhankelijk van de afwikkelingstermijn wordt een voorziening opgenomen als een </w:t>
      </w:r>
      <w:proofErr w:type="spellStart"/>
      <w:r>
        <w:t>kortetermijnverplichting</w:t>
      </w:r>
      <w:proofErr w:type="spellEnd"/>
      <w:r>
        <w:t xml:space="preserve"> of als een </w:t>
      </w:r>
      <w:proofErr w:type="spellStart"/>
      <w:r>
        <w:t>langetermijnverplichting</w:t>
      </w:r>
      <w:proofErr w:type="spellEnd"/>
      <w:r>
        <w:rPr>
          <w:rStyle w:val="Voetnootmarkering"/>
        </w:rPr>
        <w:footnoteReference w:id="122"/>
      </w:r>
      <w:r>
        <w:t>. Ook onder full IFRS wordt voor deze oplossing gekozen, zo blijkt uit IAS 1.54l in combinatie met IAS 1.60. In het Nederlandse stelsel wordt gekozen voor een opname van de post voorzieningen tussen het eigen vermogen en de langlopende schulden, waarbij geen onderscheid wordt gemaakt tussen kortlopende en langlopende voorzieningen</w:t>
      </w:r>
      <w:r>
        <w:rPr>
          <w:rStyle w:val="Voetnootmarkering"/>
        </w:rPr>
        <w:footnoteReference w:id="123"/>
      </w:r>
      <w:r>
        <w:t>. Ook in Nederland wordt de voorziening uiteindelijk gezien als vreemd vermogen</w:t>
      </w:r>
      <w:r>
        <w:rPr>
          <w:rStyle w:val="Voetnootmarkering"/>
        </w:rPr>
        <w:footnoteReference w:id="124"/>
      </w:r>
      <w:r>
        <w:t>.</w:t>
      </w:r>
      <w:r>
        <w:tab/>
      </w:r>
    </w:p>
    <w:p w:rsidR="009A0204" w:rsidRDefault="00780824" w:rsidP="00780824">
      <w:pPr>
        <w:tabs>
          <w:tab w:val="left" w:pos="1995"/>
        </w:tabs>
        <w:spacing w:line="360" w:lineRule="auto"/>
      </w:pPr>
      <w:r>
        <w:t>De eisen die gelden voor het opnemen van voorzieningen zijn vergelijkbaar. Zowel onder full IFRS als onder SME en onder Dutch GAAP geldt dat er sprake moet zijn van een in rechte afdwingbare verplichting</w:t>
      </w:r>
      <w:r>
        <w:rPr>
          <w:rStyle w:val="Voetnootmarkering"/>
        </w:rPr>
        <w:footnoteReference w:id="125"/>
      </w:r>
      <w:r>
        <w:t xml:space="preserve"> of een feitelijke verplichting</w:t>
      </w:r>
      <w:r>
        <w:rPr>
          <w:rStyle w:val="Voetnootmarkering"/>
        </w:rPr>
        <w:footnoteReference w:id="126"/>
      </w:r>
      <w:r>
        <w:t>. Om deze abstracte termen toe te lichten volgen enkele voorbeelden. Een in rechte afdwingbare verplichting vloeit voort uit een overeenkomst, vaak neergelegd in een contract, of uit de wet. Een verplichting die voortvloeit uit een overeenkomst kan bijvoorbeeld bestaan uit de aflossing van een lening.</w:t>
      </w:r>
    </w:p>
    <w:p w:rsidR="00780824" w:rsidRDefault="00780824" w:rsidP="00780824">
      <w:pPr>
        <w:tabs>
          <w:tab w:val="left" w:pos="1995"/>
        </w:tabs>
        <w:spacing w:line="360" w:lineRule="auto"/>
      </w:pPr>
      <w:r>
        <w:lastRenderedPageBreak/>
        <w:t xml:space="preserve">Bij een verplichting die voortvloeit uit de wet kan men denken aan de verplichting tot schadevergoeding bij inbreuk op een recht van een derde, zoals een patent. Een feitelijke verplichting ontstaat als de onderneming niet onder de verplichting uit kan komen, omdat de wederpartij er gerechtvaardigd op vertrouwt dat de onderneming dit zal doen en er geen alternatief aanwezig is om aan deze verplichting te ontsnappen. Hierbij kan gedacht worden aan een garantiestelsel dat een onderneming al jaren voert boven de wettelijke garantieverplichtingen. Consumenten kunnen hier, in bepaalde gevallen, gerechtvaardigd op vertrouwen en voor de onderneming ontstaat dan een feitelijke verplichting om dit garantiestelsel in stand te houden. </w:t>
      </w:r>
    </w:p>
    <w:p w:rsidR="00780824" w:rsidRDefault="00780824" w:rsidP="00780824">
      <w:pPr>
        <w:tabs>
          <w:tab w:val="left" w:pos="1995"/>
        </w:tabs>
        <w:spacing w:line="360" w:lineRule="auto"/>
      </w:pPr>
      <w:r>
        <w:t>Naast de eisen die gesteld worden aan de verplichting moet er onzekerheid verbonden zijn aan de gevolgen van de verplichting. Het is zo dat de omvang van de verplichting of het moment van afwikkeling onzeker moet zijn</w:t>
      </w:r>
      <w:r>
        <w:rPr>
          <w:rStyle w:val="Voetnootmarkering"/>
        </w:rPr>
        <w:footnoteReference w:id="127"/>
      </w:r>
      <w:r>
        <w:t>. Ook hier kan de garantieverplichting als voorbeeld aangehaald worden. Bij het vormen van een voorziening voor garantieverplichtingen is het niet duidelijk voor welk bedrag er in de toekomst een beroep op gedaan zal worden, dus de omvang van de verplichtingen is niet duidelijk. Ook het moment van afwikkeling is vooraf onzeker, het is immers niet bekend of en wanneer er de garantie wordt ingeroepen.</w:t>
      </w:r>
    </w:p>
    <w:p w:rsidR="00780824" w:rsidRPr="00997FE5" w:rsidRDefault="00780824" w:rsidP="00780824">
      <w:pPr>
        <w:tabs>
          <w:tab w:val="left" w:pos="1995"/>
        </w:tabs>
        <w:spacing w:line="360" w:lineRule="auto"/>
      </w:pPr>
      <w:r>
        <w:t xml:space="preserve">De waardering van voorzieningen is in de </w:t>
      </w:r>
      <w:proofErr w:type="spellStart"/>
      <w:r>
        <w:t>SME-standaard</w:t>
      </w:r>
      <w:proofErr w:type="spellEnd"/>
      <w:r>
        <w:t xml:space="preserve"> strikter gereguleerd dan onder Dutch GAAP. Op grond van IFRS SME 21.7 dient waardering plaats te vinden tegen contante waarde, op het moment dat deze materieel verschilt met de nominale waarde</w:t>
      </w:r>
      <w:r>
        <w:rPr>
          <w:rStyle w:val="Voetnootmarkering"/>
        </w:rPr>
        <w:footnoteReference w:id="128"/>
      </w:r>
      <w:r>
        <w:t>. Deze eisen sluiten aan bij de waarderingsgrondslagen die onder full IFRS worden aangehouden</w:t>
      </w:r>
      <w:r>
        <w:rPr>
          <w:rStyle w:val="Voetnootmarkering"/>
        </w:rPr>
        <w:footnoteReference w:id="129"/>
      </w:r>
      <w:r>
        <w:t>. De RJ biedt daarentegen de keuze tussen nominale en contante waarde</w:t>
      </w:r>
      <w:r>
        <w:rPr>
          <w:rStyle w:val="Voetnootmarkering"/>
        </w:rPr>
        <w:footnoteReference w:id="130"/>
      </w:r>
      <w:r>
        <w:t xml:space="preserve">. De beide </w:t>
      </w:r>
      <w:proofErr w:type="spellStart"/>
      <w:r>
        <w:t>IFRS-stelsels</w:t>
      </w:r>
      <w:proofErr w:type="spellEnd"/>
      <w:r>
        <w:t xml:space="preserve"> bieden geen mogelijkheid tot het vormen van een voorziening groot onderhoud, een optie die op grond van RJ 212.445 wel mogelijk is onder Nederlandse regelgeving. De IASB ziet gebruik van een voorziening groot onderhoud niet als geschikte optie, haar voorkeur ligt bij de componentenbenadering</w:t>
      </w:r>
      <w:r>
        <w:rPr>
          <w:rStyle w:val="Voetnootmarkering"/>
        </w:rPr>
        <w:footnoteReference w:id="131"/>
      </w:r>
      <w:r>
        <w:t xml:space="preserve">. Deze benadering leidt namelijk tot een meer gedetailleerde afschrijvingsmethode, er komt meer informatie vrij over de waardering van het actief en over de afschrijving van de verschillende componenten van het actief. Bovendien zorgt dit systeem voor een betere </w:t>
      </w:r>
      <w:proofErr w:type="spellStart"/>
      <w:r>
        <w:rPr>
          <w:i/>
        </w:rPr>
        <w:t>matching</w:t>
      </w:r>
      <w:proofErr w:type="spellEnd"/>
      <w:r>
        <w:rPr>
          <w:i/>
        </w:rPr>
        <w:t xml:space="preserve"> </w:t>
      </w:r>
      <w:r>
        <w:t xml:space="preserve">van de kosten met de opbrengsten, doordat de afschrijvingen over de gehele gebruiksduur van de componenten ten laste van de winst gebracht wordt. Bij het vormen van een voorziening komt er af en toe een grotere kostenpost ten laste van de winst, wat een verstoord beeld oplevert. </w:t>
      </w:r>
    </w:p>
    <w:p w:rsidR="00780824" w:rsidRDefault="00780824" w:rsidP="00780824">
      <w:pPr>
        <w:tabs>
          <w:tab w:val="left" w:pos="1995"/>
        </w:tabs>
        <w:spacing w:line="360" w:lineRule="auto"/>
        <w:rPr>
          <w:b/>
          <w:i/>
        </w:rPr>
      </w:pPr>
      <w:r>
        <w:rPr>
          <w:b/>
          <w:i/>
        </w:rPr>
        <w:lastRenderedPageBreak/>
        <w:t>Schulden</w:t>
      </w:r>
    </w:p>
    <w:p w:rsidR="00780824" w:rsidRDefault="00780824" w:rsidP="00780824">
      <w:pPr>
        <w:spacing w:line="360" w:lineRule="auto"/>
      </w:pPr>
      <w:r>
        <w:t xml:space="preserve">Onder het kopje </w:t>
      </w:r>
      <w:r>
        <w:rPr>
          <w:b/>
          <w:i/>
        </w:rPr>
        <w:t>eigen vermogen</w:t>
      </w:r>
      <w:r>
        <w:t xml:space="preserve"> is reeds behandeld wanneer er sprake is van een verplichting, die geboekt moet worden onder vreemd vermogen, en wanneer de noemer eigen vermogen van toepassing is. Voor uitleg van dit kwalificatievraagstuk en de gedachten van de diverse stelsels over deze kwestie wordt dan ook naar het onderdeel </w:t>
      </w:r>
      <w:r>
        <w:rPr>
          <w:b/>
          <w:i/>
        </w:rPr>
        <w:t xml:space="preserve">eigen vermogen </w:t>
      </w:r>
      <w:r>
        <w:t xml:space="preserve">verwezen. </w:t>
      </w:r>
    </w:p>
    <w:p w:rsidR="00780824" w:rsidRPr="009C7885" w:rsidRDefault="00780824" w:rsidP="00780824">
      <w:pPr>
        <w:spacing w:line="360" w:lineRule="auto"/>
      </w:pPr>
      <w:r>
        <w:t>Het moment waarop een verplichting van de balans kan worden gehaald, is niet bij elk stelsel hetzelfde. Onder IFRS SME is dit mogelijk zodra de onderneming van haar contractuele verplichtingen wordt ontheven. Dit kan door nakoming, door het aflopen van de verplichting of door ontbinding van de verbintenis</w:t>
      </w:r>
      <w:r>
        <w:rPr>
          <w:rStyle w:val="Voetnootmarkering"/>
        </w:rPr>
        <w:footnoteReference w:id="132"/>
      </w:r>
      <w:r>
        <w:t xml:space="preserve">. Ook door overdracht van </w:t>
      </w:r>
      <w:proofErr w:type="spellStart"/>
      <w:r>
        <w:rPr>
          <w:i/>
        </w:rPr>
        <w:t>risks</w:t>
      </w:r>
      <w:proofErr w:type="spellEnd"/>
      <w:r>
        <w:rPr>
          <w:i/>
        </w:rPr>
        <w:t xml:space="preserve"> and </w:t>
      </w:r>
      <w:proofErr w:type="spellStart"/>
      <w:r>
        <w:rPr>
          <w:i/>
        </w:rPr>
        <w:t>rewards</w:t>
      </w:r>
      <w:proofErr w:type="spellEnd"/>
      <w:r>
        <w:rPr>
          <w:i/>
        </w:rPr>
        <w:t xml:space="preserve"> </w:t>
      </w:r>
      <w:r>
        <w:t xml:space="preserve">aan een andere partij kan hieraan voldaan worden. Full IFRS bevat dezelfde momenten waarop </w:t>
      </w:r>
      <w:proofErr w:type="spellStart"/>
      <w:r>
        <w:rPr>
          <w:i/>
        </w:rPr>
        <w:t>derecognition</w:t>
      </w:r>
      <w:proofErr w:type="spellEnd"/>
      <w:r>
        <w:rPr>
          <w:i/>
        </w:rPr>
        <w:t xml:space="preserve">, </w:t>
      </w:r>
      <w:r>
        <w:t xml:space="preserve">het verwijderen van de balans, mogelijk is, maar verbindt hier een uitgebreider pakket aan eisen aan. RJ 115.110 geeft aan wanneer </w:t>
      </w:r>
      <w:proofErr w:type="spellStart"/>
      <w:r>
        <w:rPr>
          <w:i/>
        </w:rPr>
        <w:t>derecognition</w:t>
      </w:r>
      <w:proofErr w:type="spellEnd"/>
      <w:r>
        <w:rPr>
          <w:i/>
        </w:rPr>
        <w:t xml:space="preserve"> </w:t>
      </w:r>
      <w:r>
        <w:t xml:space="preserve">mogelijk is onder de Nederlandse wet- en regelgeving. De eisen die hier gesteld worden, komen er op neer dat (nagenoeg) alle rechten op economische voordelen en (nagenoeg) alle risico’s aan een derde worden overgedragen. Uiteraard wordt de verplichting ook van de balans gehaald op het moment dat deze wordt nagekomen dan wel ontbonden. IFRS SME en full IFRS verschillen hier enigszins van het Nederlandse systeem, doordat daar </w:t>
      </w:r>
      <w:r>
        <w:rPr>
          <w:i/>
        </w:rPr>
        <w:t xml:space="preserve">alle </w:t>
      </w:r>
      <w:proofErr w:type="spellStart"/>
      <w:r>
        <w:t>risks</w:t>
      </w:r>
      <w:proofErr w:type="spellEnd"/>
      <w:r>
        <w:t xml:space="preserve"> and </w:t>
      </w:r>
      <w:proofErr w:type="spellStart"/>
      <w:r>
        <w:t>rewards</w:t>
      </w:r>
      <w:proofErr w:type="spellEnd"/>
      <w:r>
        <w:t xml:space="preserve"> moeten worden overgedragen voordat er sprake kan zijn van </w:t>
      </w:r>
      <w:proofErr w:type="spellStart"/>
      <w:r>
        <w:t>derecognition</w:t>
      </w:r>
      <w:proofErr w:type="spellEnd"/>
      <w:r>
        <w:t xml:space="preserve">. </w:t>
      </w:r>
    </w:p>
    <w:p w:rsidR="00780824" w:rsidRDefault="00780824" w:rsidP="00780824">
      <w:pPr>
        <w:spacing w:after="0" w:line="360" w:lineRule="auto"/>
      </w:pPr>
      <w:r>
        <w:t xml:space="preserve">De Nederlandse wet- en regelgeving hanteert een zeer specifieke opsplitsing van de schulden. In artikel 2:375 lid 1 BW is te zien dat een groot aantal posten apart vermeld moet worden. In IFRS SME is deze verplichte splitsing minder ingrijpend; het onderscheid dat gemaakt wordt, bestaat uit handelscrediteuren, belastingschulden, </w:t>
      </w:r>
      <w:proofErr w:type="spellStart"/>
      <w:r>
        <w:t>belastinglatenties</w:t>
      </w:r>
      <w:proofErr w:type="spellEnd"/>
      <w:r>
        <w:t xml:space="preserve"> en overige schulden</w:t>
      </w:r>
      <w:r>
        <w:rPr>
          <w:rStyle w:val="Voetnootmarkering"/>
        </w:rPr>
        <w:footnoteReference w:id="133"/>
      </w:r>
      <w:r>
        <w:t>. Full IFRS hanteert dezelfde indeling</w:t>
      </w:r>
      <w:r>
        <w:rPr>
          <w:rStyle w:val="Voetnootmarkering"/>
        </w:rPr>
        <w:footnoteReference w:id="134"/>
      </w:r>
      <w:r>
        <w:t xml:space="preserve">, en beide stelsels eisen dus minder toelichting dan de Nederlandse regels. </w:t>
      </w:r>
    </w:p>
    <w:p w:rsidR="00780824" w:rsidRDefault="00780824" w:rsidP="00780824">
      <w:pPr>
        <w:spacing w:after="0" w:line="360" w:lineRule="auto"/>
      </w:pPr>
    </w:p>
    <w:p w:rsidR="00780824" w:rsidRPr="00CF0AF7" w:rsidRDefault="00780824" w:rsidP="00780824">
      <w:pPr>
        <w:spacing w:after="0" w:line="360" w:lineRule="auto"/>
        <w:rPr>
          <w:b/>
        </w:rPr>
      </w:pPr>
      <w:r w:rsidRPr="00CF0AF7">
        <w:rPr>
          <w:b/>
        </w:rPr>
        <w:t>4.3.4 Winst- en verliesrekening</w:t>
      </w:r>
    </w:p>
    <w:p w:rsidR="00780824" w:rsidRDefault="00780824" w:rsidP="00780824">
      <w:pPr>
        <w:spacing w:after="0" w:line="360" w:lineRule="auto"/>
      </w:pPr>
      <w:r>
        <w:t>De indeling van de winst- en verliesrekening bij IFRS SME en bij full IFRS wordt grotendeels overgelaten aan het oordeel van de onderneming, zolang een aantal posten maar wordt opgenomen. Dit zijn de posten: opbrengsten, financieringslasten, resultaat uit deelnemingen, belastinglasten en het nettoresultaat na belastingen</w:t>
      </w:r>
      <w:r>
        <w:rPr>
          <w:rStyle w:val="Voetnootmarkering"/>
        </w:rPr>
        <w:footnoteReference w:id="135"/>
      </w:r>
      <w:r>
        <w:t>. Onder Dutch GAAP moet gekozen worden voor een van de modellen uit het Besluit Modellen Jaarrekening.</w:t>
      </w:r>
    </w:p>
    <w:p w:rsidR="00780824" w:rsidRDefault="00780824" w:rsidP="00780824">
      <w:pPr>
        <w:tabs>
          <w:tab w:val="left" w:pos="4905"/>
        </w:tabs>
        <w:spacing w:after="0" w:line="360" w:lineRule="auto"/>
      </w:pPr>
      <w:r>
        <w:lastRenderedPageBreak/>
        <w:t xml:space="preserve">Verder is het naar full IFRS en naar IFRS SME verplicht om het </w:t>
      </w:r>
      <w:proofErr w:type="spellStart"/>
      <w:r>
        <w:t>total</w:t>
      </w:r>
      <w:proofErr w:type="spellEnd"/>
      <w:r>
        <w:t xml:space="preserve"> </w:t>
      </w:r>
      <w:proofErr w:type="spellStart"/>
      <w:r>
        <w:t>comprehensive</w:t>
      </w:r>
      <w:proofErr w:type="spellEnd"/>
      <w:r>
        <w:t xml:space="preserve"> </w:t>
      </w:r>
      <w:proofErr w:type="spellStart"/>
      <w:r>
        <w:t>income</w:t>
      </w:r>
      <w:proofErr w:type="spellEnd"/>
      <w:r>
        <w:t xml:space="preserve"> weer te geven. Dit omvat naast het nettoresultaat na belastingen ook de effecten van stelselwijzigingen en foutenherstel, en baten en lasten die direct in het eigen vermogen zijn verwerkt. Dit kan zowel in een apart overzicht als in één alomvattend overzicht dat ook de winst- en verliesrekening is opgenomen</w:t>
      </w:r>
      <w:r>
        <w:rPr>
          <w:rStyle w:val="Voetnootmarkering"/>
        </w:rPr>
        <w:footnoteReference w:id="136"/>
      </w:r>
      <w:r>
        <w:t>. Naar Nederlandse wet- en regelgeving is dit slechts verplicht voor rechtspersonen van een bepaalde omvang, zo blijkt uit RJ 265.101 en 265.201.</w:t>
      </w:r>
    </w:p>
    <w:p w:rsidR="00780824" w:rsidRPr="00CF0AF7" w:rsidRDefault="00780824" w:rsidP="00780824">
      <w:pPr>
        <w:tabs>
          <w:tab w:val="left" w:pos="4905"/>
        </w:tabs>
        <w:spacing w:after="0" w:line="360" w:lineRule="auto"/>
        <w:rPr>
          <w:b/>
        </w:rPr>
      </w:pPr>
    </w:p>
    <w:p w:rsidR="00780824" w:rsidRPr="00CF0AF7" w:rsidRDefault="00780824" w:rsidP="00780824">
      <w:pPr>
        <w:tabs>
          <w:tab w:val="left" w:pos="4905"/>
        </w:tabs>
        <w:spacing w:after="0" w:line="360" w:lineRule="auto"/>
        <w:rPr>
          <w:b/>
        </w:rPr>
      </w:pPr>
      <w:r w:rsidRPr="00CF0AF7">
        <w:rPr>
          <w:b/>
        </w:rPr>
        <w:t>4.3.5 Consolidatie</w:t>
      </w:r>
    </w:p>
    <w:p w:rsidR="00780824" w:rsidRDefault="00780824" w:rsidP="00780824">
      <w:pPr>
        <w:tabs>
          <w:tab w:val="left" w:pos="4905"/>
        </w:tabs>
        <w:spacing w:after="0" w:line="360" w:lineRule="auto"/>
      </w:pPr>
      <w:r>
        <w:t>De geconsolideerde jaarrekening wordt gedefinieerd als de jaarrekening van een groep ondernemingen als één geheel</w:t>
      </w:r>
      <w:r>
        <w:rPr>
          <w:rStyle w:val="Voetnootmarkering"/>
        </w:rPr>
        <w:footnoteReference w:id="137"/>
      </w:r>
      <w:r>
        <w:t>.</w:t>
      </w:r>
    </w:p>
    <w:p w:rsidR="00780824" w:rsidRDefault="00780824" w:rsidP="00780824">
      <w:pPr>
        <w:tabs>
          <w:tab w:val="left" w:pos="4905"/>
        </w:tabs>
        <w:spacing w:after="0" w:line="360" w:lineRule="auto"/>
      </w:pPr>
      <w:r>
        <w:t>Consolidatie is naar Nederlandse wet- en regelgeving verplicht voor de onderneming die groepshoofd is. Een onderneming is groepshoofd wanneer deze beslissende zeggenschap heeft over een groep met organisatorische verbondenheid die een economische eenheid vormt</w:t>
      </w:r>
      <w:r>
        <w:rPr>
          <w:rStyle w:val="Voetnootmarkering"/>
        </w:rPr>
        <w:footnoteReference w:id="138"/>
      </w:r>
      <w:r>
        <w:t>. Naar IFRS SME is het voldoende als een onderneming beslissende zeggenschap kan uitoefenen, waar in het algemeen aan is voldaan op het moment dat de meerderheid van de stemrechten bij de entiteit rust</w:t>
      </w:r>
      <w:r>
        <w:rPr>
          <w:rStyle w:val="Voetnootmarkering"/>
        </w:rPr>
        <w:footnoteReference w:id="139"/>
      </w:r>
      <w:r>
        <w:t>. Ook onder full IFRS gelden deze regels, zoals blijkt uit IAS 27.4 en 27.9.</w:t>
      </w:r>
    </w:p>
    <w:p w:rsidR="00780824" w:rsidRPr="00F84EE5" w:rsidRDefault="00780824" w:rsidP="00780824">
      <w:pPr>
        <w:tabs>
          <w:tab w:val="left" w:pos="4905"/>
        </w:tabs>
        <w:spacing w:after="0" w:line="360" w:lineRule="auto"/>
      </w:pPr>
      <w:r>
        <w:t xml:space="preserve">Op het moment dat er sprake is van consolidatie, is er onder IFRS SME </w:t>
      </w:r>
      <w:r>
        <w:rPr>
          <w:i/>
        </w:rPr>
        <w:t xml:space="preserve">geen </w:t>
      </w:r>
      <w:r>
        <w:t>verplichting tot het uitbrengen van enkelvoudige jaarrekeningen</w:t>
      </w:r>
      <w:r>
        <w:rPr>
          <w:rStyle w:val="Voetnootmarkering"/>
        </w:rPr>
        <w:footnoteReference w:id="140"/>
      </w:r>
      <w:r>
        <w:t xml:space="preserve"> door de groepsmaatschappijen</w:t>
      </w:r>
      <w:r>
        <w:rPr>
          <w:rStyle w:val="Voetnootmarkering"/>
        </w:rPr>
        <w:footnoteReference w:id="141"/>
      </w:r>
      <w:r>
        <w:t xml:space="preserve">. Onder Dutch GAAP blijft deze verplichting wel rusten op de betrokken ondernemingen. </w:t>
      </w:r>
    </w:p>
    <w:p w:rsidR="00780824" w:rsidRDefault="00780824" w:rsidP="00780824">
      <w:pPr>
        <w:spacing w:line="360" w:lineRule="auto"/>
      </w:pPr>
      <w:r>
        <w:t>Als er verschillen bestaan tussen het eigen vermogen of het resultaat op basis van de gecombineerde enkelvoudige jaarrekeningen en de geconsolideerde jaarrekeningen</w:t>
      </w:r>
      <w:r>
        <w:rPr>
          <w:rStyle w:val="Voetnootmarkering"/>
        </w:rPr>
        <w:footnoteReference w:id="142"/>
      </w:r>
      <w:r>
        <w:t xml:space="preserve"> hoeven deze niet toegelicht te worden bij toepassing van IFRS SME of full IFRS</w:t>
      </w:r>
      <w:r>
        <w:rPr>
          <w:rStyle w:val="Voetnootmarkering"/>
        </w:rPr>
        <w:footnoteReference w:id="143"/>
      </w:r>
      <w:r>
        <w:t xml:space="preserve">. Onder Dutch GAAP moeten deze verschillen wel worden uiteengezet en toegelicht, aldus artikel 2:389 lid 10 BW. </w:t>
      </w:r>
    </w:p>
    <w:p w:rsidR="00780824" w:rsidRPr="009A0204" w:rsidRDefault="00780824" w:rsidP="009A0204">
      <w:pPr>
        <w:pStyle w:val="Kop3"/>
        <w:rPr>
          <w:color w:val="auto"/>
        </w:rPr>
      </w:pPr>
      <w:bookmarkStart w:id="26" w:name="_Toc299913165"/>
      <w:r w:rsidRPr="009A0204">
        <w:rPr>
          <w:color w:val="auto"/>
        </w:rPr>
        <w:t xml:space="preserve">4.4 </w:t>
      </w:r>
      <w:r w:rsidR="004126BC">
        <w:rPr>
          <w:color w:val="auto"/>
        </w:rPr>
        <w:t>Conclusie</w:t>
      </w:r>
      <w:bookmarkEnd w:id="26"/>
    </w:p>
    <w:p w:rsidR="00780824" w:rsidRDefault="00780824" w:rsidP="00780824">
      <w:pPr>
        <w:spacing w:line="360" w:lineRule="auto"/>
      </w:pPr>
      <w:r>
        <w:t xml:space="preserve">In dit hoofdstuk is uiteengezet hoe de inhoudelijke bepalingen van de IFRS </w:t>
      </w:r>
      <w:proofErr w:type="spellStart"/>
      <w:r>
        <w:t>SME-standaard</w:t>
      </w:r>
      <w:proofErr w:type="spellEnd"/>
      <w:r>
        <w:t xml:space="preserve"> zich verhouden tot de regels die neergelegd zijn in het volledige </w:t>
      </w:r>
      <w:proofErr w:type="spellStart"/>
      <w:r>
        <w:t>IFRS-pakket</w:t>
      </w:r>
      <w:proofErr w:type="spellEnd"/>
      <w:r>
        <w:t xml:space="preserve"> en in de Nederlandse wet- en regelgeving. Hierbij is ook de reikwijdte van de verscheidene stelsels aan de orde gekomen.</w:t>
      </w:r>
    </w:p>
    <w:p w:rsidR="00780824" w:rsidRDefault="00780824" w:rsidP="00780824">
      <w:pPr>
        <w:spacing w:line="360" w:lineRule="auto"/>
      </w:pPr>
      <w:r>
        <w:lastRenderedPageBreak/>
        <w:t xml:space="preserve">Aan de orde is gekomen aan welke eisen de verslaggeving van de balansposten en de resultatenrekening  moet voldoen onder Dutch GAAP, full IFRS en IFRS SME. Ook is bekeken waaraan de onderneming moet voldoen bij het onderwerp consolidatie. Hierbij is gekozen voor een aanpak waarbij de overeenkomsten, maar vooral ook de verschillen worden uiteengezet per categorie. Geen aandacht is besteed aan posten waarvan het belang minder groot is, om zo te voorkomen dat dit hoofdstuk een te uitputtend en uitvoerig karakter zou krijgen. </w:t>
      </w:r>
    </w:p>
    <w:p w:rsidR="00780824" w:rsidRDefault="00780824" w:rsidP="00780824">
      <w:pPr>
        <w:spacing w:line="360" w:lineRule="auto"/>
        <w:rPr>
          <w:i/>
        </w:rPr>
      </w:pPr>
      <w:r>
        <w:t xml:space="preserve">Met de uiteenzetting van de overeenkomsten en verschillen in dit hoofdstuk is de derde deelvraag beantwoord: </w:t>
      </w:r>
      <w:r>
        <w:rPr>
          <w:i/>
        </w:rPr>
        <w:t>Hoe verhoudt toepassing van IFRS SME zich tot toepassing van de gebruikelijke regelgeving?</w:t>
      </w:r>
    </w:p>
    <w:p w:rsidR="00EF7B6A" w:rsidRPr="00EF7B6A" w:rsidRDefault="00EF7B6A" w:rsidP="00780824">
      <w:pPr>
        <w:spacing w:line="360" w:lineRule="auto"/>
      </w:pPr>
      <w:r>
        <w:t xml:space="preserve">Hierbij is duidelijk geworden dat er sprake is van vereenvoudigingen ten opzichte van full IFRS. Dit uit zich in de </w:t>
      </w:r>
      <w:r w:rsidR="00785EB3">
        <w:t xml:space="preserve">verminderde keuzemogelijkheden met betrekking tot waarderingsgrondslagen en verwerkingsmethodes, </w:t>
      </w:r>
      <w:r>
        <w:t xml:space="preserve">waarbij met name van belang is dat het principe van de </w:t>
      </w:r>
      <w:r>
        <w:rPr>
          <w:i/>
        </w:rPr>
        <w:t xml:space="preserve">fair </w:t>
      </w:r>
      <w:proofErr w:type="spellStart"/>
      <w:r>
        <w:rPr>
          <w:i/>
        </w:rPr>
        <w:t>value</w:t>
      </w:r>
      <w:proofErr w:type="spellEnd"/>
      <w:r>
        <w:rPr>
          <w:i/>
        </w:rPr>
        <w:t xml:space="preserve"> </w:t>
      </w:r>
      <w:r>
        <w:t xml:space="preserve">in IFRS SME grotendeels buiten beschouwing wordt gelaten. </w:t>
      </w:r>
    </w:p>
    <w:p w:rsidR="00780824" w:rsidRDefault="00780824" w:rsidP="00780824">
      <w:pPr>
        <w:spacing w:line="360" w:lineRule="auto"/>
      </w:pPr>
      <w:r>
        <w:t xml:space="preserve">Na de uiteenzetting van overeenkomsten en verschillen in de regelgeving in dit hoofdstuk, wordt het volgende hoofdstuk aangegrepen voor een onderzoek naar de gevolgen van toepassing van IFRS SME. Hiervoor wordt onder andere gebruik gemaakt van de gegevens die zijn beschreven in dit hoofdstuk. </w:t>
      </w:r>
    </w:p>
    <w:p w:rsidR="00780824" w:rsidRPr="00CF0AF7" w:rsidRDefault="00780824" w:rsidP="00780824">
      <w:pPr>
        <w:spacing w:line="360" w:lineRule="auto"/>
      </w:pPr>
    </w:p>
    <w:p w:rsidR="00780824" w:rsidRDefault="00780824">
      <w:pPr>
        <w:rPr>
          <w:color w:val="FF0000"/>
        </w:rPr>
      </w:pPr>
      <w:r>
        <w:rPr>
          <w:color w:val="FF0000"/>
        </w:rPr>
        <w:br w:type="page"/>
      </w:r>
    </w:p>
    <w:p w:rsidR="00780824" w:rsidRPr="009A0204" w:rsidRDefault="00780824" w:rsidP="009A0204">
      <w:pPr>
        <w:pStyle w:val="Kop2"/>
        <w:rPr>
          <w:color w:val="auto"/>
        </w:rPr>
      </w:pPr>
      <w:bookmarkStart w:id="27" w:name="_Toc299913166"/>
      <w:r w:rsidRPr="009A0204">
        <w:rPr>
          <w:color w:val="auto"/>
        </w:rPr>
        <w:lastRenderedPageBreak/>
        <w:t>Hoofdstuk 5 – Gevolgen van toepassing IFRS SME</w:t>
      </w:r>
      <w:bookmarkEnd w:id="27"/>
    </w:p>
    <w:p w:rsidR="00780824" w:rsidRPr="009A0204" w:rsidRDefault="00780824" w:rsidP="009A0204">
      <w:pPr>
        <w:pStyle w:val="Kop3"/>
        <w:rPr>
          <w:color w:val="auto"/>
        </w:rPr>
      </w:pPr>
      <w:bookmarkStart w:id="28" w:name="_Toc299913167"/>
      <w:r w:rsidRPr="009A0204">
        <w:rPr>
          <w:color w:val="auto"/>
        </w:rPr>
        <w:t>5.1 Inleiding</w:t>
      </w:r>
      <w:bookmarkEnd w:id="28"/>
    </w:p>
    <w:p w:rsidR="00780824" w:rsidRDefault="00780824" w:rsidP="00780824">
      <w:pPr>
        <w:spacing w:line="360" w:lineRule="auto"/>
      </w:pPr>
      <w:r>
        <w:t xml:space="preserve">In het vorige hoofdstuk is uitvoerig uiteengezet hoe de inhoudelijke bepalingen van de IFRS </w:t>
      </w:r>
      <w:proofErr w:type="spellStart"/>
      <w:r>
        <w:t>SME-standaard</w:t>
      </w:r>
      <w:proofErr w:type="spellEnd"/>
      <w:r>
        <w:t xml:space="preserve"> zich verhouden tot de voorschriften van full IFRS en van Dutch GAAP. Om niet te verzanden in een uitputtende samenvatting is aandacht besteed aan de meest gangbare posten. </w:t>
      </w:r>
    </w:p>
    <w:p w:rsidR="00780824" w:rsidRDefault="00780824" w:rsidP="00780824">
      <w:pPr>
        <w:spacing w:line="360" w:lineRule="auto"/>
      </w:pPr>
      <w:r>
        <w:t xml:space="preserve">Dit hoofdstuk wordt aangegrepen om een vervolg te geven op deze uiteenzetting, waarbij de gevolgen van toepassing van IFRS SME aan de orde komen. Omdat toepassing van IFRS SME door ondernemingen in Nederland vooral in de plaats van de huidige Nederlandse wet- en regelgeving zal komen, en niet in plaats van full IFRS, zal de analyse van de gevolgen zich met name richten op de vervanging van Dutch GAAP in de verslaggeving. </w:t>
      </w:r>
    </w:p>
    <w:p w:rsidR="00780824" w:rsidRDefault="00780824" w:rsidP="00780824">
      <w:pPr>
        <w:spacing w:line="360" w:lineRule="auto"/>
        <w:rPr>
          <w:i/>
        </w:rPr>
      </w:pPr>
      <w:r>
        <w:t xml:space="preserve">Het onderzoek naar de gevolgen van toepassing van IFRS SME richt zich allereerst op de beantwoording van de vierde deelvraag: </w:t>
      </w:r>
      <w:r>
        <w:rPr>
          <w:i/>
        </w:rPr>
        <w:t>Wat zijn de gevolgen van toepassing van IFRS SME voor de verslaggeving?</w:t>
      </w:r>
    </w:p>
    <w:p w:rsidR="00780824" w:rsidRDefault="00780824" w:rsidP="00780824">
      <w:pPr>
        <w:spacing w:line="360" w:lineRule="auto"/>
      </w:pPr>
      <w:r>
        <w:t xml:space="preserve">Hierbij komen niet alleen de gevolgen voor de verslaggeving zelf aan de orde, er is ook aandacht voor indirecte consequenties. Hierbij kan gedacht worden aan de effecten voor gebruikers van de verslaggeving, maar ook aan eventuele gevolgen voor de werking van de internationale kapitaalmarkten. </w:t>
      </w:r>
    </w:p>
    <w:p w:rsidR="00780824" w:rsidRDefault="00780824" w:rsidP="00780824">
      <w:pPr>
        <w:spacing w:line="360" w:lineRule="auto"/>
      </w:pPr>
      <w:r>
        <w:t xml:space="preserve">De beantwoording van deze deelvraag schetst een beeld van de gevolgen van toepassing van IFRS SME, waarbij met name de directe consequenties voor de verslaggeving van belang zijn voor de beantwoording van de hoofdvraag van deze scriptie. </w:t>
      </w:r>
    </w:p>
    <w:p w:rsidR="00780824" w:rsidRDefault="00780824" w:rsidP="00780824">
      <w:pPr>
        <w:spacing w:line="360" w:lineRule="auto"/>
        <w:rPr>
          <w:i/>
        </w:rPr>
      </w:pPr>
      <w:r>
        <w:t xml:space="preserve">In dit hoofdstuk wordt ook onderzoek gedaan voor de beantwoording van deelvraag vijf: </w:t>
      </w:r>
      <w:r>
        <w:rPr>
          <w:i/>
        </w:rPr>
        <w:t>Wat zijn de voordelen en nadelen van IFRS SME?</w:t>
      </w:r>
    </w:p>
    <w:p w:rsidR="00780824" w:rsidRDefault="00780824" w:rsidP="00780824">
      <w:pPr>
        <w:spacing w:line="360" w:lineRule="auto"/>
      </w:pPr>
      <w:r>
        <w:t>De reikwijdte van deze deelvraag beperkt zich vooral tot de gevolgen voor de ondernemingen op het moment dat deze gaan rapporteren conform IFRS SME. Deze deelvraag is van essentieel belang om tot een antwoord op de hoofdvraag te komen, de voor- en nadelen spelen een grote rol bij het onderzoek naar de invloed van IFRS SME op ondernemingen uit de doelgroep.</w:t>
      </w:r>
    </w:p>
    <w:p w:rsidR="00780824" w:rsidRDefault="00780824" w:rsidP="00780824">
      <w:pPr>
        <w:spacing w:line="360" w:lineRule="auto"/>
      </w:pPr>
      <w:r>
        <w:t xml:space="preserve">Voor- en nadelen voor andere partijen, zoals gebruikers van de jaarverslaggeving komen aan de orde bij de beantwoording van deelvraag vier en in hoofdstuk zes. Hoofdstuk zes richt zich op de visie van de praktijk op IFRS SME en bij de behandeling daarvan is ook ruimte voor onderzoek naar de gevolgen voor partijen die zich hiertoe rekenen. </w:t>
      </w:r>
    </w:p>
    <w:p w:rsidR="009A0204" w:rsidRDefault="009A0204" w:rsidP="00780824">
      <w:pPr>
        <w:spacing w:line="360" w:lineRule="auto"/>
        <w:rPr>
          <w:b/>
        </w:rPr>
      </w:pPr>
    </w:p>
    <w:p w:rsidR="00780824" w:rsidRPr="009A0204" w:rsidRDefault="00780824" w:rsidP="009A0204">
      <w:pPr>
        <w:pStyle w:val="Kop3"/>
        <w:rPr>
          <w:color w:val="auto"/>
        </w:rPr>
      </w:pPr>
      <w:bookmarkStart w:id="29" w:name="_Toc299913168"/>
      <w:r w:rsidRPr="009A0204">
        <w:rPr>
          <w:color w:val="auto"/>
        </w:rPr>
        <w:lastRenderedPageBreak/>
        <w:t>5.2 Eerste toepassing IFRS SME</w:t>
      </w:r>
      <w:bookmarkEnd w:id="29"/>
    </w:p>
    <w:p w:rsidR="00780824" w:rsidRPr="00BF06B8" w:rsidRDefault="00780824" w:rsidP="00780824">
      <w:pPr>
        <w:spacing w:line="360" w:lineRule="auto"/>
        <w:rPr>
          <w:b/>
        </w:rPr>
      </w:pPr>
      <w:r>
        <w:t xml:space="preserve">Het onderdeel ‘eerste toepassing’ speelt alleen in het geval een onderneming overstapt van gebruik van een bepaald stelsel naar toepassing van IFRS SME, dus niet bij ondernemingen die in hun eerste jaar direct gebruik maken van de standaard. In het kader van een onderzoek van de gevolgen van toepassing van IFRS SME dient dit onderwerp behandeld te worden, aangezien een overstap naar IFRS SME voor zal komen. Dit houdt in dat niet alleen de gevolgen van het gebruik van IFRS SME behandeld moeten worden, maar ook de effecten </w:t>
      </w:r>
      <w:r>
        <w:rPr>
          <w:i/>
        </w:rPr>
        <w:t xml:space="preserve">van de overstap. </w:t>
      </w:r>
      <w:r>
        <w:t xml:space="preserve"> De eerste toepassing van IFRS SME uit zich door een expliciete en onvoorwaardelijke vermelding hiervan in de jaarrekening</w:t>
      </w:r>
      <w:r>
        <w:rPr>
          <w:rStyle w:val="Voetnootmarkering"/>
        </w:rPr>
        <w:footnoteReference w:id="144"/>
      </w:r>
      <w:r>
        <w:t xml:space="preserve">. </w:t>
      </w:r>
    </w:p>
    <w:p w:rsidR="00780824" w:rsidRDefault="00780824" w:rsidP="00780824">
      <w:pPr>
        <w:spacing w:line="360" w:lineRule="auto"/>
      </w:pPr>
      <w:r>
        <w:t xml:space="preserve">In sectie 35 van de IFRS </w:t>
      </w:r>
      <w:proofErr w:type="spellStart"/>
      <w:r>
        <w:t>SME-standaard</w:t>
      </w:r>
      <w:proofErr w:type="spellEnd"/>
      <w:r>
        <w:t xml:space="preserve"> staan bepalingen opgenomen die specifiek van toepassing zijn op de eerste jaarrekening die wordt opgesteld onder IFRS SME. Een belangrijk aspect van deze eerste toepassing bestaat uit de verplichting om vergelijkende informatie op te nemen over de voorgaande periodes. Hierbij worden eerdere jaarverslagen omgezet en omgerekend naar de eisen die gelden conform IFRS SME, zodat de cijfers vergeleken kunnen worden met de eerste jaarrekening die expliciet en onvoorwaardelijk volgens IFRS SME is opgesteld. </w:t>
      </w:r>
    </w:p>
    <w:p w:rsidR="00780824" w:rsidRDefault="00780824" w:rsidP="00780824">
      <w:pPr>
        <w:spacing w:line="360" w:lineRule="auto"/>
      </w:pPr>
      <w:r>
        <w:t>Vergelijkende cijfers moeten in ieder geval opgenomen worden over het voorafgaande jaar, verder terugkijken is ook toegestaan. De transitiedatum naar IFRS SME wordt bepaald op de begindatum van de vroegste periode waarover vergelijkende cijfers worden weergegeven</w:t>
      </w:r>
      <w:r>
        <w:rPr>
          <w:rStyle w:val="Voetnootmarkering"/>
        </w:rPr>
        <w:footnoteReference w:id="145"/>
      </w:r>
      <w:r>
        <w:t>. Aandacht moet worden besteed aan de gehele jaarrekening</w:t>
      </w:r>
      <w:r>
        <w:rPr>
          <w:rStyle w:val="Voetnootmarkering"/>
        </w:rPr>
        <w:footnoteReference w:id="146"/>
      </w:r>
      <w:r>
        <w:t xml:space="preserve"> en specifieke informatie moet worden verstrekt ter vergelijking en beschrijving van de weergegeven informatie</w:t>
      </w:r>
      <w:r>
        <w:rPr>
          <w:rStyle w:val="Voetnootmarkering"/>
        </w:rPr>
        <w:footnoteReference w:id="147"/>
      </w:r>
      <w:r>
        <w:t xml:space="preserve">. </w:t>
      </w:r>
    </w:p>
    <w:p w:rsidR="00780824" w:rsidRDefault="00780824" w:rsidP="00780824">
      <w:pPr>
        <w:spacing w:line="360" w:lineRule="auto"/>
      </w:pPr>
      <w:r>
        <w:t>Deze verplichting is ingesteld om te voorkomen dat het overschakelen op IFRS SME</w:t>
      </w:r>
      <w:r>
        <w:rPr>
          <w:rStyle w:val="Voetnootmarkering"/>
        </w:rPr>
        <w:footnoteReference w:id="148"/>
      </w:r>
      <w:r>
        <w:t xml:space="preserve"> leidt tot problemen met de vergelijking van de cijfers. Op het moment dat een onderneming overschakelt, kan dit immers grote verschuivingen veroorzaken in belangrijke indicatoren, zoals omzet, nettowinst en balanstotaal. Door het opnemen van vergelijkende cijfers kan een gebruiker van de jaarrekening hier relatief gemakkelijk doorheen zien, hij kan immers beoordelen of de cijfers sterk verschillen met de omgezette resultaten uit eerdere periodes. De eis die gesteld wordt in IFRS SME 35.12 sluit hierbij aan, de onderneming moet de gevolgen van de wijziging uiteenzetten met speciale aandacht voor financiële positie en de resultaten. Voor ondernemingen is dit een extra administratieve belasting, het omrekenen van cijfers uit het verleden komt immers bovenop het verwerken van de resultaten uit dit boekjaar. </w:t>
      </w:r>
    </w:p>
    <w:p w:rsidR="00780824" w:rsidRDefault="00780824" w:rsidP="00780824">
      <w:pPr>
        <w:spacing w:line="360" w:lineRule="auto"/>
      </w:pPr>
      <w:r>
        <w:lastRenderedPageBreak/>
        <w:t>Om de jaarrekening van dit boekjaar te presenteren conform IFRS SME is het opstellen van vergelijkende cijfers echter wel een noodzakelijke eerste stap, er moet immers een openingsbalans worden opgesteld die voldoet aan de eisen van de standaard. Eventuele verschillen die ontstaan tussen de eindbalans conform Dutch GAAP en de openingsbalans conform IFRS SME</w:t>
      </w:r>
      <w:r>
        <w:rPr>
          <w:rStyle w:val="Voetnootmarkering"/>
        </w:rPr>
        <w:footnoteReference w:id="149"/>
      </w:r>
      <w:r>
        <w:t xml:space="preserve"> moeten worden verwerkt via de post ingehouden winst</w:t>
      </w:r>
      <w:r>
        <w:rPr>
          <w:rStyle w:val="Voetnootmarkering"/>
        </w:rPr>
        <w:footnoteReference w:id="150"/>
      </w:r>
      <w:r>
        <w:t xml:space="preserve">. </w:t>
      </w:r>
    </w:p>
    <w:p w:rsidR="00780824" w:rsidRDefault="00780824" w:rsidP="00780824">
      <w:pPr>
        <w:spacing w:line="360" w:lineRule="auto"/>
      </w:pPr>
      <w:r>
        <w:t xml:space="preserve">Mijns inziens is deze verplichting noodzakelijk en biedt zij hulp aan gebruikers van de verslaggeving  die geconfronteerd worden met een transitie naar een ander stelsel. De eis draagt ook bij aan een correcte overgang. Door de verplichte opname van vergelijkende cijfers en een toelichting hierop wordt het voor ondernemingen immers bemoeilijkt om een negatief resultaat te verbloemen in een periode waarin gebruikers het zicht enigszins kunnen verliezen op de weergegeven financiële positie. Wel is het zo dat de administratieve belasting met name voor kleine ondernemingen een struikelblok kan zijn, wat er zelfs toe zou kunnen leiden dat zij de transitie naar IFRS SME zo lang mogelijk uitstellen. Bij een onderneming met een zwakke administratie kan verschaffen van vergelijkende cijfers over eerdere periodes lastig zijn. Deze verplichting kan </w:t>
      </w:r>
      <w:r w:rsidRPr="00C323B9">
        <w:rPr>
          <w:i/>
        </w:rPr>
        <w:t>vrijwillige</w:t>
      </w:r>
      <w:r>
        <w:t xml:space="preserve"> overgang naar toepassing van IFRS SME in die gevallen wellicht tegenwerken</w:t>
      </w:r>
      <w:r>
        <w:rPr>
          <w:rStyle w:val="Voetnootmarkering"/>
        </w:rPr>
        <w:footnoteReference w:id="151"/>
      </w:r>
      <w:r>
        <w:t>.</w:t>
      </w:r>
    </w:p>
    <w:p w:rsidR="00780824" w:rsidRPr="009A0204" w:rsidRDefault="00780824" w:rsidP="009A0204">
      <w:pPr>
        <w:pStyle w:val="Kop3"/>
        <w:rPr>
          <w:color w:val="auto"/>
        </w:rPr>
      </w:pPr>
      <w:bookmarkStart w:id="30" w:name="_Toc299913169"/>
      <w:r w:rsidRPr="009A0204">
        <w:rPr>
          <w:color w:val="auto"/>
        </w:rPr>
        <w:t>5.3 Administratieve lasten</w:t>
      </w:r>
      <w:bookmarkEnd w:id="30"/>
    </w:p>
    <w:p w:rsidR="00780824" w:rsidRDefault="00780824" w:rsidP="00780824">
      <w:pPr>
        <w:spacing w:line="360" w:lineRule="auto"/>
      </w:pPr>
      <w:r>
        <w:t xml:space="preserve">Eén van de redenen die de IASB opgaf voor het creëren van een speciale standaard voor </w:t>
      </w:r>
      <w:proofErr w:type="spellStart"/>
      <w:r>
        <w:t>small</w:t>
      </w:r>
      <w:proofErr w:type="spellEnd"/>
      <w:r>
        <w:t xml:space="preserve"> and </w:t>
      </w:r>
      <w:proofErr w:type="spellStart"/>
      <w:r>
        <w:t>medium-sized</w:t>
      </w:r>
      <w:proofErr w:type="spellEnd"/>
      <w:r>
        <w:t xml:space="preserve"> </w:t>
      </w:r>
      <w:proofErr w:type="spellStart"/>
      <w:r>
        <w:t>entities</w:t>
      </w:r>
      <w:proofErr w:type="spellEnd"/>
      <w:r>
        <w:t xml:space="preserve"> was de wens om voor deze groep ondernemingen eenvoudigere regelgeving te creëren</w:t>
      </w:r>
      <w:r>
        <w:rPr>
          <w:rStyle w:val="Voetnootmarkering"/>
        </w:rPr>
        <w:footnoteReference w:id="152"/>
      </w:r>
      <w:r>
        <w:t>. Op deze manier moest IFRS SME een aantrekkelijk alternatief worden voor ondernemingen waar ook de nationale overheden de toegevoegde waarde van zouden inzien. Zonder implementatie door de nationale overheden heeft een standaard van de IASB geen wettelijke status en kan er dus geen gebruik van worden gemaakt.</w:t>
      </w:r>
    </w:p>
    <w:p w:rsidR="00780824" w:rsidRDefault="00780824" w:rsidP="00780824">
      <w:pPr>
        <w:spacing w:line="360" w:lineRule="auto"/>
      </w:pPr>
      <w:r>
        <w:t>De administratieve lasten die voortvloeien uit het gebruik van IFRS SME wegen inderdaad minder zwaar dan de lasten van toepassing van full IFRS. Ten opzichte van dit stelsel is een aantal vereenvoudigingen doorgevoerd, waarbij bijvoorbeeld in de toelichting ongeveer 40% minder informatie wordt vereist onder IFRS SME</w:t>
      </w:r>
      <w:r>
        <w:rPr>
          <w:rStyle w:val="Voetnootmarkering"/>
        </w:rPr>
        <w:footnoteReference w:id="153"/>
      </w:r>
      <w:r>
        <w:t>.</w:t>
      </w:r>
    </w:p>
    <w:p w:rsidR="00780824" w:rsidRDefault="00780824" w:rsidP="00780824">
      <w:pPr>
        <w:spacing w:line="360" w:lineRule="auto"/>
      </w:pPr>
      <w:r>
        <w:lastRenderedPageBreak/>
        <w:t>Verder zijn er minder specifieke eisen voor bijzondere categorieën activa, en zijn er in veel opzichten minder waarderingsgrondslagen toegestaan</w:t>
      </w:r>
      <w:r>
        <w:rPr>
          <w:rStyle w:val="Voetnootmarkering"/>
        </w:rPr>
        <w:footnoteReference w:id="154"/>
      </w:r>
      <w:r>
        <w:t xml:space="preserve">. Doordat er minder keuzemogelijkheden zijn, wordt de keuze weliswaar vergemakkelijkt, maar dit leidt ook tot een inperking van de mogelijkheden voor een onderneming om de meest geschikte grondslag te kiezen. Deze efficiency, waarover later meer, heeft in de afweging van de IASB moeten plaatsmaken voor betrouwbaarheid en vergelijkbaarheid. De vergelijkbaarheid is immers aanzienlijk beter te waarborgen op het moment dat er minder waarderingsgrondslagen zijn toegestaan. </w:t>
      </w:r>
    </w:p>
    <w:p w:rsidR="00780824" w:rsidRDefault="00780824" w:rsidP="00780824">
      <w:pPr>
        <w:spacing w:line="360" w:lineRule="auto"/>
      </w:pPr>
      <w:r>
        <w:t>In vergelijking met de Nederlandse wet- en regelgeving zijn de lasten ongeveer gelijk. Uit het rapport van BDO</w:t>
      </w:r>
      <w:r>
        <w:rPr>
          <w:rStyle w:val="Voetnootmarkering"/>
        </w:rPr>
        <w:footnoteReference w:id="155"/>
      </w:r>
      <w:r>
        <w:t xml:space="preserve"> blijkt dat IFRS SME wat meer rapportage vereist dan Dutch GAAP, maar dat dit kan verschillen per onderneming. Het is namelijk zo dat er grote verschillen bestaan tussen de beide stelsels, waarbij de voornaamste aandachtspunten ongelijk zijn. Binnen de richtlijnen van de RJ worden bijvoorbeeld zwaardere eisen gesteld aan de rapportage van financiële instrumenten, terwijl IFRS SME meer kwalitatieve toelichting eist over andere posten. </w:t>
      </w:r>
    </w:p>
    <w:p w:rsidR="00780824" w:rsidRDefault="00780824" w:rsidP="00780824">
      <w:pPr>
        <w:spacing w:line="360" w:lineRule="auto"/>
      </w:pPr>
      <w:r>
        <w:t>Voor één categorie ondernemingen zou (vrijwillige) invoering van IFRS SME kunnen leiden tot aanzienlijk minder administratieve lasten. Deze categorie bestaat uit de ondernemingen die aan het hoofd staan van een groep internationale vennootschappen</w:t>
      </w:r>
      <w:r>
        <w:rPr>
          <w:rStyle w:val="Voetnootmarkering"/>
        </w:rPr>
        <w:footnoteReference w:id="156"/>
      </w:r>
      <w:r>
        <w:t xml:space="preserve">. Op het moment dat alle leden van de groep overgaan tot toepassing van IFRS SME, wordt het voor de moedermaatschappij eenvoudiger om de geconsolideerde jaarrekening op te stellen. Er is dan nog slechts één stelsel regelgeving van toepassing, in plaats van de uiteenlopende nationale stelsels in de huidige situatie. </w:t>
      </w:r>
    </w:p>
    <w:p w:rsidR="00780824" w:rsidRDefault="00780824" w:rsidP="00780824">
      <w:pPr>
        <w:spacing w:line="360" w:lineRule="auto"/>
      </w:pPr>
      <w:r>
        <w:t xml:space="preserve">De administratieve lasten nemen dus sterk af bij overgang van full IFRS naar IFRS SME, maar bij een switch van Dutch GAAP naar IFRS SME is hier geen eensluidende conclusie over te geven. Voor bepaalde ondernemingen zullen de administratieve lasten afnemen, voor andere ondernemingen kunnen deze juist toenemen. Het verschil in administratieve lasten tussen IFRS SME en de Nederlandse wet- en regelgeving is echter in alle gevallen klein en zal dus geen grote rol spelen in de keuze tussen toepassing van IFRS SME en Dutch GAAP. </w:t>
      </w:r>
    </w:p>
    <w:p w:rsidR="009A0204" w:rsidRPr="009A0204" w:rsidRDefault="00780824" w:rsidP="009A0204">
      <w:pPr>
        <w:pStyle w:val="Kop3"/>
        <w:rPr>
          <w:color w:val="auto"/>
        </w:rPr>
      </w:pPr>
      <w:bookmarkStart w:id="31" w:name="_Toc299913170"/>
      <w:r w:rsidRPr="009A0204">
        <w:rPr>
          <w:color w:val="auto"/>
        </w:rPr>
        <w:t>5.4 Waardering op balans en resultaten</w:t>
      </w:r>
      <w:bookmarkEnd w:id="31"/>
      <w:r w:rsidRPr="009A0204">
        <w:rPr>
          <w:color w:val="auto"/>
        </w:rPr>
        <w:t xml:space="preserve"> </w:t>
      </w:r>
    </w:p>
    <w:p w:rsidR="00780824" w:rsidRDefault="00780824" w:rsidP="00780824">
      <w:pPr>
        <w:spacing w:line="360" w:lineRule="auto"/>
      </w:pPr>
      <w:r>
        <w:t xml:space="preserve">Zoals in de vorige paragraaf reeds is aangegeven, kent de IFRS </w:t>
      </w:r>
      <w:proofErr w:type="spellStart"/>
      <w:r>
        <w:t>SME-standaard</w:t>
      </w:r>
      <w:proofErr w:type="spellEnd"/>
      <w:r>
        <w:t xml:space="preserve"> aanzienlijk minder keuzemogelijkheden voor de verwerking van posten dan full IFRS. Ook ten opzichte van Dutch GAAP zijn de mogelijkheden beperkt</w:t>
      </w:r>
      <w:r>
        <w:rPr>
          <w:rStyle w:val="Voetnootmarkering"/>
        </w:rPr>
        <w:footnoteReference w:id="157"/>
      </w:r>
      <w:r>
        <w:t>.</w:t>
      </w:r>
    </w:p>
    <w:p w:rsidR="00780824" w:rsidRDefault="00780824" w:rsidP="00780824">
      <w:pPr>
        <w:spacing w:line="360" w:lineRule="auto"/>
      </w:pPr>
      <w:r>
        <w:lastRenderedPageBreak/>
        <w:t xml:space="preserve">In het vorige hoofdstuk is behandeld waarin de verslaggeving conform IFRS SME verschilt van de verwerking van financiële positie en resultaten volgens de eisen van full IFRS en Dutch GAAP. Een aantal van deze verschillen wordt hier aangehaald, om te laten zien dat toepassing van IFRS SME een nadelig effect kan hebben op het vermogen dat tot uiting komt in de verslaggeving. </w:t>
      </w:r>
    </w:p>
    <w:p w:rsidR="00780824" w:rsidRDefault="00780824" w:rsidP="00780824">
      <w:pPr>
        <w:spacing w:line="360" w:lineRule="auto"/>
      </w:pPr>
      <w:r>
        <w:t>Materiële en immateriële vaste activa moeten bij toepassing van IFRS SME worden gewaardeerd tegen de kostprijs</w:t>
      </w:r>
      <w:r>
        <w:rPr>
          <w:rStyle w:val="Voetnootmarkering"/>
        </w:rPr>
        <w:footnoteReference w:id="158"/>
      </w:r>
      <w:r>
        <w:t xml:space="preserve">. Dit heeft als gevolg dat waardestijgingen </w:t>
      </w:r>
      <w:r>
        <w:rPr>
          <w:i/>
        </w:rPr>
        <w:t xml:space="preserve">niet </w:t>
      </w:r>
      <w:r>
        <w:t>mogen worden verwerkt op de balans, wat wel mogelijk zou zijn bij waardering tegen reële waarde zoals toegestaan is onder Dutch GAAP en onder full IFRS.</w:t>
      </w:r>
    </w:p>
    <w:p w:rsidR="00780824" w:rsidRDefault="00780824" w:rsidP="00780824">
      <w:pPr>
        <w:spacing w:line="360" w:lineRule="auto"/>
      </w:pPr>
      <w:r>
        <w:t xml:space="preserve">Rentelasten </w:t>
      </w:r>
      <w:r>
        <w:rPr>
          <w:i/>
        </w:rPr>
        <w:t>moeten</w:t>
      </w:r>
      <w:r>
        <w:t xml:space="preserve"> onder IFRS SME altijd direct ten laste van het resultaat worden gebracht, terwijl onder Dutch GAAP de mogelijkheid bestaat om deze te activeren op het moment dat deze rusten op een actief dat aan de voorwaarden voldoet</w:t>
      </w:r>
      <w:r>
        <w:rPr>
          <w:rStyle w:val="Voetnootmarkering"/>
        </w:rPr>
        <w:footnoteReference w:id="159"/>
      </w:r>
      <w:r>
        <w:t xml:space="preserve">. Een onderneming die geen gebruik kan maken van deze mogelijkheid, behaalt een lager resultaat, wat zich uit in een lager vermogen op de balans. </w:t>
      </w:r>
    </w:p>
    <w:p w:rsidR="00780824" w:rsidRDefault="00780824" w:rsidP="00780824">
      <w:pPr>
        <w:spacing w:line="360" w:lineRule="auto"/>
      </w:pPr>
      <w:r>
        <w:t xml:space="preserve">Kosten die betrekking hebben op research and </w:t>
      </w:r>
      <w:proofErr w:type="spellStart"/>
      <w:r>
        <w:t>development</w:t>
      </w:r>
      <w:proofErr w:type="spellEnd"/>
      <w:r>
        <w:t xml:space="preserve"> worden verschillend behandeld. Onder IFRS SME moeten deze direct ten laste van het resultaat worden gebracht</w:t>
      </w:r>
      <w:r>
        <w:rPr>
          <w:rStyle w:val="Voetnootmarkering"/>
        </w:rPr>
        <w:footnoteReference w:id="160"/>
      </w:r>
      <w:r>
        <w:t xml:space="preserve">, terwijl ontwikkelingskosten geactiveerd mogen worden bij toepassing van de Nederlandse wet- en regelgeving en onder full IFRS. Ook hier is sprake van een dempend effect op het vermogen, wat met name zal spelen bij ondernemingen die veel investeren in ontwikkeling van nieuwe producten of activiteiten. Dit kan overigens niet alleen een effect hebben op de betrokken ondernemingen, maar mijns inziens ook op de innovatiekracht van een economie als geheel. Het wordt immers minder aantrekkelijk om op zoek te gaan naar vernieuwing. </w:t>
      </w:r>
    </w:p>
    <w:p w:rsidR="00780824" w:rsidRDefault="00780824" w:rsidP="00780824">
      <w:pPr>
        <w:spacing w:line="360" w:lineRule="auto"/>
      </w:pPr>
      <w:r>
        <w:t xml:space="preserve">De bovenstaande voorbeelden vormen slechts een kleine toelichting op de stelling dat toepassing van IFRS SME nadelige gevolgen kan hebben voor het vermogen van ondernemingen. Ook het resultaat wordt door bepaalde regels negatief beïnvloed, wat meegenomen zal worden in de afweging van ondernemingen of zij over willen gaan op toepassing van IFRS SME, na eventuele implementatie van de standaard door de autoriteiten.   </w:t>
      </w:r>
    </w:p>
    <w:p w:rsidR="00780824" w:rsidRPr="009A0204" w:rsidRDefault="00780824" w:rsidP="009A0204">
      <w:pPr>
        <w:pStyle w:val="Kop3"/>
        <w:rPr>
          <w:color w:val="auto"/>
        </w:rPr>
      </w:pPr>
      <w:bookmarkStart w:id="32" w:name="_Toc299913171"/>
      <w:r w:rsidRPr="009A0204">
        <w:rPr>
          <w:color w:val="auto"/>
        </w:rPr>
        <w:t>5.5 Gevolgen voor solvabiliteit en financiering</w:t>
      </w:r>
      <w:bookmarkEnd w:id="32"/>
    </w:p>
    <w:p w:rsidR="009A0204" w:rsidRDefault="00780824" w:rsidP="00780824">
      <w:pPr>
        <w:spacing w:line="360" w:lineRule="auto"/>
      </w:pPr>
      <w:r>
        <w:t xml:space="preserve">Om de gevolgen van toepassing van IFRS SME toe te lichten zal ik in deze paragraaf een aantal fictieve posten omzetten, om te laten zien wat er kan veranderen door een overgang naar een andere standaard. </w:t>
      </w:r>
    </w:p>
    <w:p w:rsidR="00780824" w:rsidRDefault="00780824" w:rsidP="00780824">
      <w:pPr>
        <w:spacing w:line="360" w:lineRule="auto"/>
      </w:pPr>
      <w:r>
        <w:lastRenderedPageBreak/>
        <w:t>Omdat ik van mening ben dat een overstap van Dutch GAAP naar IFRS SME waarschijnlijker is dan een overgang vanaf full IFRS, zal ik kiezen voor omzetting van posten die opgesteld zouden zijn conform Dutch GAAP. Het doel van deze toelichting is het verschaffen van inzicht in de veranderingen die teweeg worden gebracht bij toepassing van IFRS SME, waarbij aandacht wordt besteed aan het effect op de solvabiliteit. De solvabiliteit geeft de verhouding van het eigen vermogen ten opzichte van het vreemd vermogen weer en is een belangrijke financiële ratio waarmee een inschatting gemaakt kan worden van de waarschijnlijkheid dat een onderneming haar verplichtingen zal nakomen. Uit didactisch oogpunt beperk ik me tot een eenvoudige opzet, aangezien de verschillen dan beter zijn te overzien.</w:t>
      </w:r>
    </w:p>
    <w:p w:rsidR="00780824" w:rsidRDefault="00780824" w:rsidP="00780824">
      <w:pPr>
        <w:spacing w:line="360" w:lineRule="auto"/>
      </w:pPr>
      <w:r>
        <w:t>Onderneming X heeft haar jaarrekening opgesteld conform Nederlandse wet- en regelgeving, maar overweegt over te stappen naar toepassing van IFRS SME</w:t>
      </w:r>
      <w:r>
        <w:rPr>
          <w:rStyle w:val="Voetnootmarkering"/>
        </w:rPr>
        <w:footnoteReference w:id="161"/>
      </w:r>
      <w:r>
        <w:t>. Op haar balans heeft de onderneming de post materiële vaste activa gewaardeerd tegen actuele waarde</w:t>
      </w:r>
      <w:r>
        <w:rPr>
          <w:rStyle w:val="Voetnootmarkering"/>
        </w:rPr>
        <w:footnoteReference w:id="162"/>
      </w:r>
      <w:r>
        <w:t xml:space="preserve">. De post bestaat uit een inventaris met een vervangingswaarde van €1,2 miljoen, die in het vorige boekjaar zijn aangekocht voor €1 miljoen. De gebruiksduur bedraagt 10 jaar, de restwaarde wordt voor dit voorbeeld op nihil gesteld. </w:t>
      </w:r>
    </w:p>
    <w:p w:rsidR="00780824" w:rsidRDefault="00780824" w:rsidP="00780824">
      <w:pPr>
        <w:spacing w:line="360" w:lineRule="auto"/>
      </w:pPr>
      <w:r>
        <w:t>Bij waardering tegen actuele waarde, de keuze van onderneming X onder Dutch GAAP, bedraagt de balanswaarde dit jaar €1,08 miljoen. Er is voor €120.000 afgeschreven en de herwaarderingsreserve bedraagt €80.000</w:t>
      </w:r>
      <w:r>
        <w:rPr>
          <w:rStyle w:val="Voetnootmarkering"/>
        </w:rPr>
        <w:footnoteReference w:id="163"/>
      </w:r>
      <w:r>
        <w:t>. Nu wil de onderneming gebruik maken van IFRS SME, waarbij waardering tegen historische kostprijs (verminderd met afschrijvingen) moet plaatsvinden. De boekwaarde bedraagt nu: €1 miljoen - €100.000 = €900.000</w:t>
      </w:r>
      <w:r>
        <w:rPr>
          <w:rStyle w:val="Voetnootmarkering"/>
        </w:rPr>
        <w:footnoteReference w:id="164"/>
      </w:r>
      <w:r>
        <w:t>.</w:t>
      </w:r>
    </w:p>
    <w:p w:rsidR="00780824" w:rsidRDefault="00780824" w:rsidP="00780824">
      <w:pPr>
        <w:spacing w:line="360" w:lineRule="auto"/>
      </w:pPr>
      <w:r>
        <w:t xml:space="preserve">Dezelfde onderneming heeft haar voorraden altijd gewaardeerd tegen de actuele waarde, en heeft op dit moment een bedrag van €500.000 op de balans staan aan voorraad. Bij overstap naar IFRS SME moet waardering plaatsvinden tegen historische kostprijs, en de onderneming kiest in dat geval voor de </w:t>
      </w:r>
      <w:proofErr w:type="spellStart"/>
      <w:r>
        <w:t>FIFO-methode</w:t>
      </w:r>
      <w:proofErr w:type="spellEnd"/>
      <w:r>
        <w:t xml:space="preserve">. De waarde volgens de </w:t>
      </w:r>
      <w:proofErr w:type="spellStart"/>
      <w:r>
        <w:t>FIFO-methode</w:t>
      </w:r>
      <w:proofErr w:type="spellEnd"/>
      <w:r>
        <w:t xml:space="preserve"> bedraagt slechts €100.000, de inkoopprijzen zijn in de laatste maand fors gestegen. In deze maand zijn geen voorraden ingekocht, dus bedraagt de herwaarderingsreserve €400.000</w:t>
      </w:r>
      <w:r>
        <w:rPr>
          <w:rStyle w:val="Voetnootmarkering"/>
        </w:rPr>
        <w:footnoteReference w:id="165"/>
      </w:r>
      <w:r>
        <w:t xml:space="preserve"> </w:t>
      </w:r>
    </w:p>
    <w:p w:rsidR="00780824" w:rsidRDefault="00780824" w:rsidP="00780824">
      <w:pPr>
        <w:spacing w:line="360" w:lineRule="auto"/>
      </w:pPr>
      <w:r>
        <w:lastRenderedPageBreak/>
        <w:t>Naast de genoemde posten heeft de onderneming nog activa tot haar beschikking ter waarde van €3 miljoen. De waardering van deze posten verschilt niet tussen Dutch GAAP en IFRS SME. De onderneming heeft haar activa gefinancierd met €2.5 miljoen aan leningen en heeft tevens €1 miljoen aan geplaatst aandelenkapitaal. De diverse reserves, uitgezonderd de herwaarderingsreserve, bedragen €500.000 onder IFRS SME en €600.000 onder Dutch GAAP</w:t>
      </w:r>
      <w:r>
        <w:rPr>
          <w:rStyle w:val="Voetnootmarkering"/>
        </w:rPr>
        <w:footnoteReference w:id="166"/>
      </w:r>
      <w:r>
        <w:t>. De herwaarderingsreserve bedraagt onder Dutch GAAP €480.000</w:t>
      </w:r>
      <w:r>
        <w:rPr>
          <w:rStyle w:val="Voetnootmarkering"/>
        </w:rPr>
        <w:footnoteReference w:id="167"/>
      </w:r>
      <w:r>
        <w:t xml:space="preserve">. Het balanstotaal onder IFRS SME bedraagt €4 miljoen, onder Dutch GAAP is dit €4,58 miljoen. </w:t>
      </w:r>
    </w:p>
    <w:p w:rsidR="00780824" w:rsidRDefault="00780824" w:rsidP="00780824">
      <w:pPr>
        <w:spacing w:line="360" w:lineRule="auto"/>
      </w:pPr>
      <w:r>
        <w:t>De solvabiliteit</w:t>
      </w:r>
      <w:r>
        <w:rPr>
          <w:rStyle w:val="Voetnootmarkering"/>
        </w:rPr>
        <w:footnoteReference w:id="168"/>
      </w:r>
      <w:r>
        <w:t xml:space="preserve"> van onderneming X onder Dutch GAAP bedroeg: 2,08 / 4,58 x 100% = 45,4%. Onder IFRS SME is er sprake van een solvabiliteit van: 1,5 / 4 x 100% = 37,5%. Te zien is dat de solvabiliteit met bijna acht procentpunten is verminderd, zonder dat er in de onderneming iets is veranderd. De vermindering van de solvabiliteit is volledig toe te schrijven aan de overstap van Dutch GAAP naar IFRS SME. Een verminderde solvabiliteit geeft een negatief signaal over de kredietwaardigheid van de onderneming, investeerders zien dit als een verlaagde waarschijnlijkheid dat de verplichtingen worden nagekomen. Ondanks het feit dat deze verlaagde solvabiliteit volledig is toe te schrijven aan de overstap van Dutch GAAP naar IFRS SME kan dit toch leiden tot een verminderde aantrekkelijkheid voor investeerders, die vaak afgaan op kengetallen als de solvabiliteit. Voor ondernemingen kan dit leiden tot hogere financieringskosten.</w:t>
      </w:r>
    </w:p>
    <w:p w:rsidR="00780824" w:rsidRDefault="00780824" w:rsidP="00780824">
      <w:pPr>
        <w:spacing w:line="360" w:lineRule="auto"/>
      </w:pPr>
      <w:r>
        <w:t xml:space="preserve">Met deze toelichting is getoond dat de overstap van Dutch GAAP naar IFRS SME kan leiden tot een wezenlijke verandering in financiële </w:t>
      </w:r>
      <w:proofErr w:type="spellStart"/>
      <w:r>
        <w:t>ratio’s</w:t>
      </w:r>
      <w:proofErr w:type="spellEnd"/>
      <w:r>
        <w:t xml:space="preserve">, waarbij gekozen is voor de solvabiliteit als voorbeeld. Ondanks het feit dat er binnen de onderneming niets is veranderd, blijkt de balans vatbaar te zijn voor flinke veranderingen die ontstaan doordat er minder waarderingsgrondslagen zijn toegestaan. Dit blijkt door te werken in de solvabiliteit, wat door investeerders opgevat kan worden als een verminderd vermogen tot het nakomen van verplichtingen. Voor ondernemingen kan een overstap naar IFRS SME op deze manier dan ook leiden tot hogere financieringskosten, doordat investeerders niet altijd kijken dan kengetallen als de solvabiliteit. </w:t>
      </w:r>
    </w:p>
    <w:p w:rsidR="00780824" w:rsidRPr="009A0204" w:rsidRDefault="00780824" w:rsidP="009A0204">
      <w:pPr>
        <w:pStyle w:val="Kop3"/>
        <w:rPr>
          <w:color w:val="auto"/>
        </w:rPr>
      </w:pPr>
      <w:bookmarkStart w:id="33" w:name="_Toc299913172"/>
      <w:r w:rsidRPr="009A0204">
        <w:rPr>
          <w:color w:val="auto"/>
        </w:rPr>
        <w:t>5.6 Vergelijkbaarheid en transparantie</w:t>
      </w:r>
      <w:bookmarkEnd w:id="33"/>
    </w:p>
    <w:p w:rsidR="00780824" w:rsidRDefault="00780824" w:rsidP="00780824">
      <w:pPr>
        <w:spacing w:line="360" w:lineRule="auto"/>
      </w:pPr>
      <w:r>
        <w:t xml:space="preserve">Eerder is besproken dat de IASB oog had voor de behoefte aan een ‘lichter’ alternatief voor het toenmalige </w:t>
      </w:r>
      <w:proofErr w:type="spellStart"/>
      <w:r>
        <w:t>IFRS-stelsel</w:t>
      </w:r>
      <w:proofErr w:type="spellEnd"/>
      <w:r>
        <w:t xml:space="preserve">, waarbij de administratieve lasten voor kleinere ondernemingen erg zwaar waren. Dit alternatief is er gekomen in de vorm van de IFRS </w:t>
      </w:r>
      <w:proofErr w:type="spellStart"/>
      <w:r>
        <w:t>SME-standaard</w:t>
      </w:r>
      <w:proofErr w:type="spellEnd"/>
      <w:r>
        <w:t xml:space="preserve">, maar in feite was dit niet het belangrijkste argument voor het project. </w:t>
      </w:r>
    </w:p>
    <w:p w:rsidR="00780824" w:rsidRDefault="00780824" w:rsidP="00780824">
      <w:pPr>
        <w:spacing w:line="360" w:lineRule="auto"/>
      </w:pPr>
      <w:r>
        <w:lastRenderedPageBreak/>
        <w:t>Zoals in hoofdstuk 3 reeds kort aan de orde is gekomen</w:t>
      </w:r>
      <w:r>
        <w:rPr>
          <w:rStyle w:val="Voetnootmarkering"/>
        </w:rPr>
        <w:footnoteReference w:id="169"/>
      </w:r>
      <w:r>
        <w:t xml:space="preserve">, waren vooral de verschillen tussen de diverse lokale stelsels een doorn in het oog van de IASB. Het project IFRS SME was vooral bedoeld om aan dit probleem een eind te maken.  Het bestaande </w:t>
      </w:r>
      <w:proofErr w:type="spellStart"/>
      <w:r>
        <w:t>IFRS-stelsel</w:t>
      </w:r>
      <w:proofErr w:type="spellEnd"/>
      <w:r>
        <w:t xml:space="preserve"> was al bedoeld om een oplossing te bieden voor uiteenlopende regels, maar dit vormde een te zware administratieve belasting voor kleine ondernemingen en was daardoor geen volwaardig alternatief.</w:t>
      </w:r>
    </w:p>
    <w:p w:rsidR="00780824" w:rsidRDefault="00780824" w:rsidP="00780824">
      <w:pPr>
        <w:spacing w:line="360" w:lineRule="auto"/>
      </w:pPr>
      <w:r>
        <w:t>Wereldwijd gebruik van IFRS SME, een doel dat nu nog niet is bereikt, zal ertoe leiden dat ondernemingen internationaal beter vergeleken kunnen worden</w:t>
      </w:r>
      <w:r>
        <w:rPr>
          <w:rStyle w:val="Voetnootmarkering"/>
        </w:rPr>
        <w:footnoteReference w:id="170"/>
      </w:r>
      <w:r>
        <w:t xml:space="preserve">. Door het gebruik van dezelfde regels door ondernemingen van soortgelijke omvang kunnen de financiële positie en de resultaten naast elkaar gezet worden, zonder dat gebruikers van de jaarrekening eerst een correctie moeten uitvoeren voor uiteenlopende regels. </w:t>
      </w:r>
    </w:p>
    <w:p w:rsidR="00780824" w:rsidRDefault="00780824" w:rsidP="00780824">
      <w:pPr>
        <w:spacing w:line="360" w:lineRule="auto"/>
      </w:pPr>
      <w:r>
        <w:t xml:space="preserve">Voor gebruikers zou uniform gebruik van IFRS SME, naast toepassing van full IFRS door de ondernemingen met public </w:t>
      </w:r>
      <w:proofErr w:type="spellStart"/>
      <w:r>
        <w:t>accountability</w:t>
      </w:r>
      <w:proofErr w:type="spellEnd"/>
      <w:r>
        <w:t>, dus grote voordelen bieden. De internationale vergelijkbaarheid neemt toe, en bovendien wordt er gebruik gemaakt van regels die zijn opgesteld door een gerenommeerde instantie. Het vertrouwen in deze regels zou groter kunnen zijn dan het vertrouwen in de uiteenlopende nationale stelsels, die er wellicht op gericht zijn om het nationale bedrijfsleven niet teveel te belasten. De gebruikte regels zijn in dat opzicht transparanter, het vertrouwen is groter en de vergelijkbaarheid neemt toe. Uiteraard is voor het vertrouwen ook noodzakelijk dat er toezicht wordt gehouden op de naleving van de gestelde eisen. Toezicht vindt nu vaak nationaal plaats door accountantskantoren met een vestiging in het thuisland van de onderneming. Wellicht zou het vertrouwen van internationale gebruikers in de jaarrekening toenemen met grensoverschrijdend toezicht, maar dat zou nader onderzocht moeten worden.</w:t>
      </w:r>
    </w:p>
    <w:p w:rsidR="00780824" w:rsidRDefault="00780824" w:rsidP="00780824">
      <w:pPr>
        <w:spacing w:line="360" w:lineRule="auto"/>
      </w:pPr>
      <w:r>
        <w:t>Ook voor ondernemingen kan de toegenomen vergelijkbaarheid voordelen opleveren</w:t>
      </w:r>
      <w:r>
        <w:rPr>
          <w:rStyle w:val="Voetnootmarkering"/>
        </w:rPr>
        <w:footnoteReference w:id="171"/>
      </w:r>
      <w:r>
        <w:t xml:space="preserve">. Op het moment dat er een wereldwijd vertrouwen heerst in de regelgeving en het toezicht op de naleving hiervan, zijn investeerders eerder geneigd ook ondernemingen uit andere landen te financieren. Doordat de cijfers over de resultaten en de financiële positie van de ondernemingen makkelijker en beter zijn te vergelijken, is het voor investeerders immers eenvoudiger om de beste keuze te maken zonder zich nog te laten beperken door landsgrenzen. Dit impliceert overigens ook dat slecht draaiende ondernemingen wellicht moeilijker, of tegen een hogere premie aan financiering kunnen komen. Financiering over de grens vindt bij kleinere ondernemingen nu nog beperkt plaats, mede door de internationale verschillen in de regelgeving waaraan deze groep ondernemingen moet voldoen. </w:t>
      </w:r>
    </w:p>
    <w:p w:rsidR="001B4307" w:rsidRDefault="001B4307" w:rsidP="00780824">
      <w:pPr>
        <w:spacing w:line="360" w:lineRule="auto"/>
      </w:pPr>
      <w:r>
        <w:lastRenderedPageBreak/>
        <w:t>Een bijzondere wijze van investering is de fusie of overname. Op het moment dat deze grensoverschrijdend plaatsvindt, dus een overname of fusie waarbij ondernemingen uit twee of meer landen betrokken zijn, is het eenvoudiger om de juiste voorwaarden te bespreken als alle partijen rapporteren volgens dezelfde standaard. IFRS SME kan hierop inspelen, waardoor internationale fusies of overnames voor deze ondernemingen eenvoudiger afgewikkeld kunnen worden</w:t>
      </w:r>
      <w:r>
        <w:rPr>
          <w:rStyle w:val="Voetnootmarkering"/>
        </w:rPr>
        <w:footnoteReference w:id="172"/>
      </w:r>
      <w:r>
        <w:t xml:space="preserve">.  </w:t>
      </w:r>
    </w:p>
    <w:p w:rsidR="00780824" w:rsidRDefault="00780824" w:rsidP="00780824">
      <w:pPr>
        <w:spacing w:line="360" w:lineRule="auto"/>
      </w:pPr>
      <w:r>
        <w:t>Internationaal gebruik van IFRS SME zou dus voordelen met zich meebrengen voor zowel gebruikers van de jaarrekeningen als voor de ondernemingen achter de jaarrekening. De kernwoorden in dit verband zijn vergelijkbaarheid en vertrouwen, die samen kunnen leiden tot een uitbreiding van internationale financiering. Gevolg hiervan is dat gebruikers eenvoudiger kunnen bepalen welke ondernemingen voor hen het aantrekkelijkst zijn om in te investeren, terwijl de kleinere en middelgrote vennootschappen meer toegang kunnen krijgen tot de internationale kapitaalmarkten. Dit zou voor hen kunnen leiden tot eenvoudigere en goedkopere financiering, doordat het aanbod van investeerders groter is.</w:t>
      </w:r>
    </w:p>
    <w:p w:rsidR="00780824" w:rsidRPr="009A0204" w:rsidRDefault="00780824" w:rsidP="009A0204">
      <w:pPr>
        <w:pStyle w:val="Kop3"/>
        <w:rPr>
          <w:color w:val="auto"/>
        </w:rPr>
      </w:pPr>
      <w:bookmarkStart w:id="34" w:name="_Toc299913173"/>
      <w:r w:rsidRPr="009A0204">
        <w:rPr>
          <w:color w:val="auto"/>
        </w:rPr>
        <w:t>5.7 Conclusie</w:t>
      </w:r>
      <w:bookmarkEnd w:id="34"/>
      <w:r w:rsidRPr="009A0204">
        <w:rPr>
          <w:color w:val="auto"/>
        </w:rPr>
        <w:t xml:space="preserve"> </w:t>
      </w:r>
    </w:p>
    <w:p w:rsidR="00780824" w:rsidRDefault="00780824" w:rsidP="00780824">
      <w:pPr>
        <w:spacing w:line="360" w:lineRule="auto"/>
      </w:pPr>
      <w:r>
        <w:t>Met de gegevens die in dit onderdeel zijn gepresenteerd, kunnen twee deelvragen worden beantwoord, namelijk:</w:t>
      </w:r>
    </w:p>
    <w:p w:rsidR="00780824" w:rsidRPr="004F3734" w:rsidRDefault="00780824" w:rsidP="00780824">
      <w:pPr>
        <w:pStyle w:val="Lijstalinea"/>
        <w:numPr>
          <w:ilvl w:val="0"/>
          <w:numId w:val="5"/>
        </w:numPr>
        <w:spacing w:line="360" w:lineRule="auto"/>
        <w:rPr>
          <w:i/>
        </w:rPr>
      </w:pPr>
      <w:r w:rsidRPr="004F3734">
        <w:rPr>
          <w:i/>
        </w:rPr>
        <w:t>Wat zijn de gevolgen van toepassing van IFRS SME voor de verslaggeving?</w:t>
      </w:r>
      <w:r>
        <w:rPr>
          <w:i/>
        </w:rPr>
        <w:t xml:space="preserve"> (Vier)</w:t>
      </w:r>
    </w:p>
    <w:p w:rsidR="00780824" w:rsidRPr="004F3734" w:rsidRDefault="00780824" w:rsidP="00780824">
      <w:pPr>
        <w:pStyle w:val="Lijstalinea"/>
        <w:numPr>
          <w:ilvl w:val="0"/>
          <w:numId w:val="5"/>
        </w:numPr>
        <w:spacing w:line="360" w:lineRule="auto"/>
      </w:pPr>
      <w:r>
        <w:rPr>
          <w:i/>
        </w:rPr>
        <w:t>Wat zijn de voordelen en nadelen van IFRS SME? (Vijf)</w:t>
      </w:r>
    </w:p>
    <w:p w:rsidR="00780824" w:rsidRDefault="00780824" w:rsidP="00780824">
      <w:pPr>
        <w:spacing w:line="360" w:lineRule="auto"/>
      </w:pPr>
      <w:r>
        <w:t xml:space="preserve">Omdat deze deelvragen nauw met elkaar verwant zijn, heb ik gekozen voor een gezamenlijke beantwoording, gecombineerd met een korte samenvatting van het hoofdstuk. </w:t>
      </w:r>
    </w:p>
    <w:p w:rsidR="00780824" w:rsidRDefault="00780824" w:rsidP="00780824">
      <w:pPr>
        <w:spacing w:line="360" w:lineRule="auto"/>
      </w:pPr>
      <w:r>
        <w:t xml:space="preserve">De gevolgen van toepassing van IFRS SME zijn uiteengezet, waarbij onderzoek is gedaan vanuit diverse gezichtspunten. Allereerst is gekeken naar de administratieve lasten, waarbij is geconcludeerd dat deze bij toepassing van IFRS SME iets zwaarder zijn dan bij gebruik van Dutch GAAP, maar dat er wel een grote verlichting is ten opzichte van full IFRS. Een eenmalige administratieve last, die wel van belangrijke omvang kan zijn, wordt gevormd door de verplichting vergelijkende cijfers over eerdere periodes te geven op basis van IFRS SME. Mijns inziens is dit een eis die bij kleinere ondernemingen van groot belang kan zijn bij de overweging om over te stappen op het gebruik van IFRS SME, aangezien dit bij dergelijke vennootschappen een zware belasting is voor de administratieve afdeling. </w:t>
      </w:r>
    </w:p>
    <w:p w:rsidR="00780824" w:rsidRDefault="00780824" w:rsidP="00780824">
      <w:pPr>
        <w:spacing w:line="360" w:lineRule="auto"/>
      </w:pPr>
      <w:r>
        <w:lastRenderedPageBreak/>
        <w:t xml:space="preserve">Verder is gekeken naar de gevolgen van het gebruik van IFRS SME op de waardering van de balansposten en het opstellen van de resultatenrekening. Het verdwijnen van keuzemogelijkheden blijkt een negatief effect te kunnen hebben op de omvang van het vermogen van de onderneming. Dit is toegelicht door omzetting van een aantal posten van Dutch GAAP naar IFRS SME. Hierbij zijn ook de negatieve effecten op financiële </w:t>
      </w:r>
      <w:proofErr w:type="spellStart"/>
      <w:r>
        <w:t>ratio’s</w:t>
      </w:r>
      <w:proofErr w:type="spellEnd"/>
      <w:r>
        <w:t xml:space="preserve"> belicht, samen met de gevolgen van wijziging van deze </w:t>
      </w:r>
      <w:proofErr w:type="spellStart"/>
      <w:r>
        <w:t>ratio’s</w:t>
      </w:r>
      <w:proofErr w:type="spellEnd"/>
      <w:r>
        <w:t xml:space="preserve">. Op het moment dat deze lager zijn, is het voor ondernemingen lastiger en duurder om financiering rond te krijgen. </w:t>
      </w:r>
    </w:p>
    <w:p w:rsidR="00780824" w:rsidRDefault="001B4307" w:rsidP="00780824">
      <w:pPr>
        <w:spacing w:line="360" w:lineRule="auto"/>
      </w:pPr>
      <w:r>
        <w:t xml:space="preserve">Ook </w:t>
      </w:r>
      <w:r w:rsidR="00780824">
        <w:t>is in dit hoofdstuk aandacht besteed aan één van de voornaamste doelen waardoor de IASB is aangezet tot dit project, namelijk de behoefte aan een toename in vergelijkbaarheid van verslaggeving. Deze toename van vergelijkbaarheid bleek zowel voor gebruikers van jaarrekeningen als voor ondernemingen positieve gevolgen op te leveren, waarbij vertrouwen in de verslaggeving ook van groot belang zou zijn. Voor gebruikers neemt de internationale vergelijkbaarheid van jaarrekeningen toe, waardoor het voor investeerders eenvoudiger wordt om voor buitenlandse ondernemingen te kiezen. Gesteld is dat dit ook voor ondernemingen positieve effecten kan hebben, doordat zij toegang tot internationale kapitaalmarkten kunnen krijgen, waardoor</w:t>
      </w:r>
      <w:r w:rsidR="00DB17CD">
        <w:t xml:space="preserve"> er voor hen een breder aanbod v</w:t>
      </w:r>
      <w:r w:rsidR="00780824">
        <w:t>an investeerders aanwezig is. Uiteraard neemt dit niet weg dat dit voordeel met name geldt voor goed presterende ondernemingen die aantrekkelijk zijn om in te beleggen.</w:t>
      </w:r>
    </w:p>
    <w:p w:rsidR="001B4307" w:rsidRDefault="001B4307" w:rsidP="00780824">
      <w:pPr>
        <w:spacing w:line="360" w:lineRule="auto"/>
      </w:pPr>
      <w:r>
        <w:t xml:space="preserve">Ten slot is vastgesteld dat internationale fusies en overnames eenvoudiger zijn af te wikkelen op het moment dat alle betrokken ondernemingen rapporteren volgens dezelfde standaard. Wereldwijd gebruik van IFRS SME kan hier een belangrijke rol inspelen voor kleine en middelgrote ondernemingen. </w:t>
      </w:r>
    </w:p>
    <w:p w:rsidR="00780824" w:rsidRDefault="00780824" w:rsidP="00780824">
      <w:pPr>
        <w:spacing w:line="360" w:lineRule="auto"/>
        <w:rPr>
          <w:rFonts w:ascii="EYInterstateLight" w:hAnsi="EYInterstateLight" w:cs="EYInterstateLight"/>
        </w:rPr>
      </w:pPr>
      <w:r>
        <w:t xml:space="preserve">De gevolgen die in dit hoofdstuk zijn behandeld, worden in het slot tegen elkaar afgewogen om een bijdrage te leveren aan het antwoord op de hoofdvraag, maar allereerst wordt in het volgende hoofdstuk gekeken naar de visie van de praktijk op de </w:t>
      </w:r>
      <w:proofErr w:type="spellStart"/>
      <w:r>
        <w:t>SME-standaard</w:t>
      </w:r>
      <w:proofErr w:type="spellEnd"/>
      <w:r>
        <w:t xml:space="preserve">. </w:t>
      </w:r>
    </w:p>
    <w:p w:rsidR="009A0204" w:rsidRDefault="009A0204">
      <w:pPr>
        <w:rPr>
          <w:b/>
        </w:rPr>
      </w:pPr>
      <w:r>
        <w:rPr>
          <w:b/>
        </w:rPr>
        <w:br w:type="page"/>
      </w:r>
    </w:p>
    <w:p w:rsidR="000457C9" w:rsidRPr="009A0204" w:rsidRDefault="000457C9" w:rsidP="009A0204">
      <w:pPr>
        <w:pStyle w:val="Kop2"/>
        <w:rPr>
          <w:color w:val="auto"/>
        </w:rPr>
      </w:pPr>
      <w:bookmarkStart w:id="35" w:name="_Toc299913174"/>
      <w:r w:rsidRPr="009A0204">
        <w:rPr>
          <w:color w:val="auto"/>
        </w:rPr>
        <w:lastRenderedPageBreak/>
        <w:t>Hoofdstuk 6 – Visie praktijk</w:t>
      </w:r>
      <w:bookmarkEnd w:id="35"/>
    </w:p>
    <w:p w:rsidR="000457C9" w:rsidRPr="009A0204" w:rsidRDefault="000457C9" w:rsidP="009A0204">
      <w:pPr>
        <w:pStyle w:val="Kop3"/>
        <w:rPr>
          <w:color w:val="auto"/>
        </w:rPr>
      </w:pPr>
      <w:bookmarkStart w:id="36" w:name="_Toc299913175"/>
      <w:r w:rsidRPr="009A0204">
        <w:rPr>
          <w:color w:val="auto"/>
        </w:rPr>
        <w:t>6.1 Inleiding</w:t>
      </w:r>
      <w:bookmarkEnd w:id="36"/>
    </w:p>
    <w:p w:rsidR="000457C9" w:rsidRDefault="000457C9" w:rsidP="000457C9">
      <w:pPr>
        <w:spacing w:line="360" w:lineRule="auto"/>
      </w:pPr>
      <w:r>
        <w:t xml:space="preserve">In de voorgaande hoofdstukken zijn diverse aspecten van de IFRS </w:t>
      </w:r>
      <w:proofErr w:type="spellStart"/>
      <w:r>
        <w:t>SME-standaard</w:t>
      </w:r>
      <w:proofErr w:type="spellEnd"/>
      <w:r>
        <w:t xml:space="preserve"> belicht, onder andere in een vergelijking met Dutch GAAP en full IFRS. Ook is aandacht besteed aan voor- en nadelen van de standaard. Na deze beschouwingen toon ik in dit hoofdstuk een aantal visies op de </w:t>
      </w:r>
      <w:proofErr w:type="spellStart"/>
      <w:r>
        <w:t>IFRS-standaard</w:t>
      </w:r>
      <w:proofErr w:type="spellEnd"/>
      <w:r>
        <w:t xml:space="preserve"> voor </w:t>
      </w:r>
      <w:proofErr w:type="spellStart"/>
      <w:r>
        <w:t>small</w:t>
      </w:r>
      <w:proofErr w:type="spellEnd"/>
      <w:r>
        <w:t xml:space="preserve"> and </w:t>
      </w:r>
      <w:proofErr w:type="spellStart"/>
      <w:r>
        <w:t>medium-sized</w:t>
      </w:r>
      <w:proofErr w:type="spellEnd"/>
      <w:r>
        <w:t xml:space="preserve"> </w:t>
      </w:r>
      <w:proofErr w:type="spellStart"/>
      <w:r>
        <w:t>entities</w:t>
      </w:r>
      <w:proofErr w:type="spellEnd"/>
      <w:r>
        <w:t xml:space="preserve">. </w:t>
      </w:r>
    </w:p>
    <w:p w:rsidR="000457C9" w:rsidRDefault="000457C9" w:rsidP="000457C9">
      <w:pPr>
        <w:spacing w:line="360" w:lineRule="auto"/>
      </w:pPr>
      <w:r>
        <w:t xml:space="preserve">De beschrijving van een aantal meningen over het project van de IASB dient ter illustratie van datgene wat in eerdere hoofdstukken aan de orde is gekomen. Bij deze illustratie kunnen nuanceringen optreden, maar het kan ook leiden tot extra aandacht voor bepaalde aspecten. </w:t>
      </w:r>
    </w:p>
    <w:p w:rsidR="000457C9" w:rsidRDefault="000457C9" w:rsidP="000457C9">
      <w:pPr>
        <w:spacing w:line="360" w:lineRule="auto"/>
        <w:rPr>
          <w:i/>
        </w:rPr>
      </w:pPr>
      <w:r>
        <w:t xml:space="preserve">Met dit hoofdstuk beantwoord ik deelvraag zes: </w:t>
      </w:r>
      <w:r>
        <w:rPr>
          <w:i/>
        </w:rPr>
        <w:t xml:space="preserve">Hoe kijkt de praktijk aan tegen de IFRS </w:t>
      </w:r>
      <w:proofErr w:type="spellStart"/>
      <w:r>
        <w:rPr>
          <w:i/>
        </w:rPr>
        <w:t>SME-standaard</w:t>
      </w:r>
      <w:proofErr w:type="spellEnd"/>
      <w:r>
        <w:rPr>
          <w:i/>
        </w:rPr>
        <w:t xml:space="preserve">? </w:t>
      </w:r>
    </w:p>
    <w:p w:rsidR="000457C9" w:rsidRPr="00872733" w:rsidRDefault="000457C9" w:rsidP="000457C9">
      <w:pPr>
        <w:spacing w:line="360" w:lineRule="auto"/>
      </w:pPr>
      <w:r>
        <w:t xml:space="preserve">Deze deelvraag is opgenomen om een beeld  te krijgen van de oordelen die vanuit de praktijk geveld worden over IFRS SME en om te beoordelen wat er van de geschetste doelen en motieven terecht is gekomen. De praktijk bestaat voor mij niet alleen uit de grote accountantskantoren, maar bijvoorbeeld ook uit kleine ondernemingen en auteurs in vakbladen. Om een evenwichtig oordeel te geven worden oordelen van diverse groepen aangehaald, waarbij ook gevolgen voor specifieke categorieën belanghebbenden aan de orde komen. </w:t>
      </w:r>
    </w:p>
    <w:p w:rsidR="000457C9" w:rsidRPr="009A0204" w:rsidRDefault="000457C9" w:rsidP="009A0204">
      <w:pPr>
        <w:pStyle w:val="Kop3"/>
        <w:rPr>
          <w:color w:val="auto"/>
        </w:rPr>
      </w:pPr>
      <w:bookmarkStart w:id="37" w:name="_Toc299913176"/>
      <w:r w:rsidRPr="009A0204">
        <w:rPr>
          <w:color w:val="auto"/>
        </w:rPr>
        <w:t>6.2 Accountantskantoren</w:t>
      </w:r>
      <w:bookmarkEnd w:id="37"/>
    </w:p>
    <w:p w:rsidR="000457C9" w:rsidRDefault="000457C9" w:rsidP="000457C9">
      <w:pPr>
        <w:spacing w:line="360" w:lineRule="auto"/>
        <w:rPr>
          <w:b/>
        </w:rPr>
      </w:pPr>
      <w:r>
        <w:rPr>
          <w:b/>
        </w:rPr>
        <w:t xml:space="preserve">6.2.1 </w:t>
      </w:r>
      <w:r w:rsidRPr="006563DC">
        <w:rPr>
          <w:b/>
        </w:rPr>
        <w:t>Ernst &amp; Young</w:t>
      </w:r>
    </w:p>
    <w:p w:rsidR="000457C9" w:rsidRDefault="000457C9" w:rsidP="000457C9">
      <w:pPr>
        <w:spacing w:line="360" w:lineRule="auto"/>
      </w:pPr>
      <w:r>
        <w:t>Vanuit de firma Ernst &amp; Young is een uitgebreid commentaar</w:t>
      </w:r>
      <w:r>
        <w:rPr>
          <w:rStyle w:val="Voetnootmarkering"/>
        </w:rPr>
        <w:footnoteReference w:id="173"/>
      </w:r>
      <w:r>
        <w:t xml:space="preserve"> verschenen over de IFRS </w:t>
      </w:r>
      <w:proofErr w:type="spellStart"/>
      <w:r>
        <w:t>SME-standaard</w:t>
      </w:r>
      <w:proofErr w:type="spellEnd"/>
      <w:r>
        <w:t>. Een aantal punten uit dit document z</w:t>
      </w:r>
      <w:r w:rsidR="004126BC">
        <w:t xml:space="preserve">al </w:t>
      </w:r>
      <w:r>
        <w:t xml:space="preserve">worden aangehaald om een beeld te schetsen van de gedachten over het eindproduct. Allereerst wordt er positief gereageerd op de duidelijke afgrenzing van de doelgroep. Het feit dat landen IFRS SME niet toepasbaar kunnen maken voor ondernemingen die niet aan de eisen voldoen, schept duidelijkheid voor gebruikers. </w:t>
      </w:r>
    </w:p>
    <w:p w:rsidR="000457C9" w:rsidRDefault="000457C9" w:rsidP="000457C9">
      <w:pPr>
        <w:spacing w:line="360" w:lineRule="auto"/>
      </w:pPr>
      <w:r>
        <w:t xml:space="preserve">In het verslag van Ernst &amp; Young komt naar voren dat er twijfels bestaan over de mate waarin toepassing van IFRS SME voldoet aan de behoeften van gebruikers. Kleine ondernemingen presenteren hun jaarrekeningen vaak voor een zeer beperkt aantal belanghebbenden, van wie de informatiebehoeften sterk uiteenlopen. Ondernemingen moeten dan ook nagaan of toepassing van IFRS SME leidt tot een jaarrekening die voldoet aan de specifieke wensen van de gebruikers. </w:t>
      </w:r>
    </w:p>
    <w:p w:rsidR="000457C9" w:rsidRDefault="000457C9" w:rsidP="000457C9">
      <w:pPr>
        <w:spacing w:line="360" w:lineRule="auto"/>
      </w:pPr>
      <w:r>
        <w:lastRenderedPageBreak/>
        <w:t xml:space="preserve">De overgang van nationale wet- en regelgeving naar IFRS SME kan een ingewikkelde conversie opleveren, met zware administratieve lasten. Ernst &amp; Young uit bezorgdheid over deze lasten voor ondernemingen die overwegen in de toekomst beursnotering aan te vragen. Op dat moment is toepassing van IFRS SME niet meer mogelijk en zou er overgestapt moeten worden naar full IFRS. Als deze plannen reeds bestaan, is het wellicht beter om de overstap naar IFRS SME niet te maken, maar om direct full IFRS te gaan toepassen om een dubbele conversie met bijkomende lasten te vermijden. </w:t>
      </w:r>
    </w:p>
    <w:p w:rsidR="000457C9" w:rsidRDefault="000457C9" w:rsidP="000457C9">
      <w:pPr>
        <w:spacing w:line="360" w:lineRule="auto"/>
      </w:pPr>
      <w:r>
        <w:t xml:space="preserve">Een laatste kritiekpunt is het voornemen om de standaard voor </w:t>
      </w:r>
      <w:proofErr w:type="spellStart"/>
      <w:r>
        <w:t>SMEs</w:t>
      </w:r>
      <w:proofErr w:type="spellEnd"/>
      <w:r>
        <w:t xml:space="preserve"> om de paar jaar te vernieuwen, om het gebruik ervan overzichtelijk te houden voor ondernemingen. In de ogen van Ernst &amp; Young is dit een verkeerde denkwijze, dit zou namelijk betekenen dat mogelijke verbeteringen te lang op zich laten wachten. Hier is de afweging duidelijk gevallen op een vereenvoudigde toepassing, waardoor de efficiency wellicht teveel wordt opgeofferd. </w:t>
      </w:r>
    </w:p>
    <w:p w:rsidR="000457C9" w:rsidRDefault="000457C9" w:rsidP="000457C9">
      <w:pPr>
        <w:spacing w:line="360" w:lineRule="auto"/>
      </w:pPr>
      <w:r>
        <w:t>Ondanks de genoemde nadelen blijkt Ernst &amp; Young de standaard wel toe te juichen. Het is in hun ogen een geschikt middel om de vergelijkbaarheid van de verslaggeving van kleinere ondernemingen toe te laten nemen, waarbij de administratieve belasting voor de ondernemingen ook in het oog is gehouden.</w:t>
      </w:r>
    </w:p>
    <w:p w:rsidR="000457C9" w:rsidRDefault="000457C9" w:rsidP="000457C9">
      <w:pPr>
        <w:spacing w:line="360" w:lineRule="auto"/>
        <w:rPr>
          <w:b/>
        </w:rPr>
      </w:pPr>
      <w:r>
        <w:rPr>
          <w:b/>
        </w:rPr>
        <w:t>6.2.2 KPMG</w:t>
      </w:r>
    </w:p>
    <w:p w:rsidR="000457C9" w:rsidRDefault="000457C9" w:rsidP="000457C9">
      <w:pPr>
        <w:spacing w:line="360" w:lineRule="auto"/>
      </w:pPr>
      <w:r>
        <w:t>Ook KPMG heeft een uitvoerig rapport over IFRS SME naar buiten gebracht</w:t>
      </w:r>
      <w:r>
        <w:rPr>
          <w:rStyle w:val="Voetnootmarkering"/>
        </w:rPr>
        <w:footnoteReference w:id="174"/>
      </w:r>
      <w:r>
        <w:t xml:space="preserve">. Hieruit blijkt twijfel over de uiteindelijke toegevoegde waarde van de standaard. De bedoeling wordt positief omschreven, maar ‘het moet maar afgewacht worden hoe gebruikers reageren op de standaard’ en ‘of de standaard toepassing zal vinden bij ondernemingen zonder public </w:t>
      </w:r>
      <w:proofErr w:type="spellStart"/>
      <w:r>
        <w:t>accountability</w:t>
      </w:r>
      <w:proofErr w:type="spellEnd"/>
      <w:r>
        <w:t xml:space="preserve">’. </w:t>
      </w:r>
    </w:p>
    <w:p w:rsidR="000457C9" w:rsidRDefault="000457C9" w:rsidP="000457C9">
      <w:pPr>
        <w:spacing w:line="360" w:lineRule="auto"/>
      </w:pPr>
      <w:r>
        <w:t xml:space="preserve">Het feit dat de doelgroep volledig wordt omschreven aan de hand van kwalitatieve eisen als public </w:t>
      </w:r>
      <w:proofErr w:type="spellStart"/>
      <w:r>
        <w:t>accountability</w:t>
      </w:r>
      <w:proofErr w:type="spellEnd"/>
      <w:r>
        <w:t xml:space="preserve"> wordt niet volledig omarmd door KPMG. De standaard is opgesteld met kleine en middelgrote ondernemingen als gebruikers, waar ook de vereenvoudigingen op zijn gebaseerd. Een grote onderneming, met een sterke administratieve afdeling zou hier wellicht niet voor in aanmerking moeten komen.</w:t>
      </w:r>
    </w:p>
    <w:p w:rsidR="000457C9" w:rsidRDefault="000457C9" w:rsidP="000457C9">
      <w:pPr>
        <w:spacing w:line="360" w:lineRule="auto"/>
      </w:pPr>
      <w:r>
        <w:t>Waar vanuit Ernst &amp; Young negatief wordt gedacht over het voornemen om de standaard slechts eenmaal per drie jaar bij te werken, ziet KPMG dit als een pluspunt. Dit zou moeten leiden tot meer stabiliteit in de regelgeving, wat bruikbaarheid ten goede zou komen voor ondernemingen en voor gebruikers van de jaarrekeningen.</w:t>
      </w:r>
    </w:p>
    <w:p w:rsidR="000457C9" w:rsidRDefault="000457C9" w:rsidP="000457C9">
      <w:pPr>
        <w:spacing w:line="360" w:lineRule="auto"/>
      </w:pPr>
      <w:r>
        <w:lastRenderedPageBreak/>
        <w:t xml:space="preserve">De IASB heeft in vergelijking met het volledige </w:t>
      </w:r>
      <w:proofErr w:type="spellStart"/>
      <w:r>
        <w:t>IFRS-stelsel</w:t>
      </w:r>
      <w:proofErr w:type="spellEnd"/>
      <w:r>
        <w:t xml:space="preserve"> een aantal onderwerpen niet in de standaard behandeld. Dit is bedoeld om de administratieve lasten van kleine en middelgrote ondernemingen te verminderen, zonder dat dit ten koste gaat van de informatiebehoeften van gebruikers. Aangenomen wordt dat gebruikers van de jaarrekeningen van deze ondernemingen geen behoefte hebben aan bepaalde gegevens. Op het moment dat een onderneming gebruikers heeft met specifieke wensen, waarover geen informatie is opgenomen in de standaard, kan dit leiden tot informatieverstrekking van mindere kwaliteit. KPMG is van mening dat over bepaalde onderwerpen die niet zijn opgenomen toch advies moet worden verstrekt in de standaard. Dit zou moeten dienen voor ondernemingen die deze informatie vrijwillig willen verstrekken, zonder dat het leidt tot extra verplichtingen. </w:t>
      </w:r>
    </w:p>
    <w:p w:rsidR="000457C9" w:rsidRDefault="000457C9" w:rsidP="000457C9">
      <w:pPr>
        <w:spacing w:line="360" w:lineRule="auto"/>
      </w:pPr>
      <w:r>
        <w:t xml:space="preserve">Ook KPMG ziet echter de toegevoegde waarde van een internationale standaard in, omdat ook dit kantoor inziet dat vergelijkbaarheid van groot belang is voor de internationale kapitaalmarkten. De bovengenoemde punten zouden echter voor verbetering in aanmerking komen. </w:t>
      </w:r>
    </w:p>
    <w:p w:rsidR="000457C9" w:rsidRPr="009A0204" w:rsidRDefault="000457C9" w:rsidP="009A0204">
      <w:pPr>
        <w:pStyle w:val="Kop3"/>
        <w:rPr>
          <w:color w:val="auto"/>
        </w:rPr>
      </w:pPr>
      <w:bookmarkStart w:id="38" w:name="_Toc299913177"/>
      <w:r w:rsidRPr="009A0204">
        <w:rPr>
          <w:color w:val="auto"/>
        </w:rPr>
        <w:t>6.3 Europese Commissie</w:t>
      </w:r>
      <w:bookmarkEnd w:id="38"/>
    </w:p>
    <w:p w:rsidR="000457C9" w:rsidRDefault="000457C9" w:rsidP="000457C9">
      <w:pPr>
        <w:spacing w:line="360" w:lineRule="auto"/>
      </w:pPr>
      <w:r>
        <w:t xml:space="preserve">In hoofdstuk 2 is aan de orde gesteld dat de IASB geen eigen bevoegdheid heeft om regelgeving in te stellen. De standaarden die zij opstelt, kunnen pas de status van regelgeving krijgen op het moment dat zij worden geïmplementeerd door nationale autoriteiten of door supranationale instellingen die deze bevoegdheid wel hebben. </w:t>
      </w:r>
    </w:p>
    <w:p w:rsidR="000457C9" w:rsidRPr="008C060D" w:rsidRDefault="000457C9" w:rsidP="000457C9">
      <w:pPr>
        <w:spacing w:line="360" w:lineRule="auto"/>
      </w:pPr>
      <w:r>
        <w:t xml:space="preserve">Binnen Europa heeft de Europese Commissie de bevoegdheid om toepassing van </w:t>
      </w:r>
      <w:proofErr w:type="spellStart"/>
      <w:r>
        <w:t>IFRS-standaarden</w:t>
      </w:r>
      <w:proofErr w:type="spellEnd"/>
      <w:r>
        <w:t xml:space="preserve"> toe te staan of te verplichten. Deze bevoegdheid doet niets af aan de mogelijkheid voor lidstaten om toepassing van standaarden mogelijk te maken zonder tussenkomst van de Europese Commissie, maar het goedkeuringsmechanisme van de Europese Unie heeft de grootste rol in implementatie van standaarden</w:t>
      </w:r>
      <w:r>
        <w:rPr>
          <w:rStyle w:val="Voetnootmarkering"/>
        </w:rPr>
        <w:footnoteReference w:id="175"/>
      </w:r>
      <w:r>
        <w:t>.</w:t>
      </w:r>
    </w:p>
    <w:p w:rsidR="000457C9" w:rsidRDefault="000457C9" w:rsidP="000457C9">
      <w:pPr>
        <w:spacing w:line="360" w:lineRule="auto"/>
      </w:pPr>
      <w:r>
        <w:t xml:space="preserve">Omdat dit mechanisme zo’n belangrijke rol speelt voor gebruik van standaarden binnen de Europese Unie, wordt de visie van de Europese Commissie over IFRS SME in deze paragraaf toegelicht. Deze visie is gevormd aan de hand van inbreng van belanghebbenden. </w:t>
      </w:r>
    </w:p>
    <w:p w:rsidR="000457C9" w:rsidRDefault="000457C9" w:rsidP="000457C9">
      <w:pPr>
        <w:spacing w:line="360" w:lineRule="auto"/>
      </w:pPr>
      <w:r>
        <w:t>Uit deze raadpleging</w:t>
      </w:r>
      <w:r>
        <w:rPr>
          <w:rStyle w:val="Voetnootmarkering"/>
        </w:rPr>
        <w:footnoteReference w:id="176"/>
      </w:r>
      <w:r>
        <w:t xml:space="preserve"> is naar voren gekomen dat het gebruik van een internationale standaard voor het midden- en kleinbedrijf in beginsel wordt toegejuicht, zeker voor het opstellen van geconsolideerde jaarrekeningen. De overweging dat internationale kapitaalmarkten beter toegankelijk worden voor deze categorie ondernemingen wordt gezien als een belangrijk pluspunt. </w:t>
      </w:r>
    </w:p>
    <w:p w:rsidR="000457C9" w:rsidRDefault="000457C9" w:rsidP="000457C9">
      <w:pPr>
        <w:spacing w:line="360" w:lineRule="auto"/>
      </w:pPr>
      <w:r>
        <w:lastRenderedPageBreak/>
        <w:t xml:space="preserve">Ook bij de Europese Commissie heersen echter twijfels over een aantal aspecten van de standaard. Het voornaamste nadeel is gelegen in de toepassing van IFRS SME in bepaalde landen, zoals Duitsland, waar de belastingheffing gebaseerd is op de wet- en regelgeving met betrekking tot de externe verslaggeving. Op het moment dat dergelijke nationale systemen worden vervangen door IFRS SME, moet de belastingheffing in deze landen op een andere wijze worden georganiseerd. Dit is een belasting voor lidstaten en voor ondernemingen, doordat zij dan aan meer eisen moeten voldoen dan in de huidige situatie. De Europese Commissie ziet dit als een belangrijk tegenargument, aangezien zij de administratieve belasting niet onevenredig veel wil verzwaren. Een compromis dat wordt overwogen, is het instellen van IFRS SME voor geconsolideerde jaarrekeningen, zoals ook is gebeurd met IFRS voor beursgenoteerde ondernemingen. </w:t>
      </w:r>
    </w:p>
    <w:p w:rsidR="000457C9" w:rsidRDefault="000457C9" w:rsidP="000457C9">
      <w:pPr>
        <w:spacing w:line="360" w:lineRule="auto"/>
      </w:pPr>
      <w:r>
        <w:t>Een ander punt van kritiek is het feit dat de voornaamste voordelen van toepassing van IFRS SME niet voor alle ondernemingen van belang zijn. Kleine ondernemingen zijn vooral actief op lokale markten en zullen voor hun financiering geen beroep doen op internationaal kapitaal. De gebruikers van hun rapporten hebben geen belang bij de verbeterde wereldwijde vergelijkbaarheid en deze categorie ondernemingen zal er dan ook geen lagere financieringskosten aan overhouden. Voor deze ondernemingen, die gewend zijn aan de nationale wet- en regelgeving, zien tegenstanders binnen de Europese Commissie toepassing van IFRS SME als een te zware belasting. De overstap zou te ingewikkeld zijn en zou te weinig voordelen brengen.</w:t>
      </w:r>
    </w:p>
    <w:p w:rsidR="000457C9" w:rsidRDefault="000457C9" w:rsidP="000457C9">
      <w:pPr>
        <w:spacing w:line="360" w:lineRule="auto"/>
      </w:pPr>
      <w:r>
        <w:t xml:space="preserve">Toch ziet de Europese Commissie het belang in van een wijdverbreide standaard. Internationale vergelijkbaarheid is van belang voor gebruikers, de werking van kapitaalmarkten kan verbeterd worden doordat het eenvoudiger is om resultaten en financiële posities tegen elkaar af te zetten. Voor bepaalde ondernemingen kan dit leiden tot lagere financieringskosten doordat zij een beroep kunnen doen op een groter aanbod van investeerders. Dit zijn voordelen die de Europese Commissie ook opmerkt, maar de afweging tegen eerder genoemde nadelen heeft nog geen definitief besluit opgeleverd. </w:t>
      </w:r>
    </w:p>
    <w:p w:rsidR="000457C9" w:rsidRDefault="000457C9" w:rsidP="000457C9">
      <w:pPr>
        <w:spacing w:line="360" w:lineRule="auto"/>
      </w:pPr>
      <w:r>
        <w:t xml:space="preserve">Het is dus nog niet duidelijk of de Europese Commissie overgaat op invoering van IFRS SME en of dit zal plaatsvinden op vrijwillige of verplichte basis. Ook invoering voor geconsolideerde jaarrekeningen is nog een mogelijkheid, er wordt nog gekeken naar een oplossing voor de afhankelijkheid van bepaalde nationale belastingssystemen en de positie van kleine ondernemingen wordt nog onder de loep genomen. </w:t>
      </w:r>
    </w:p>
    <w:p w:rsidR="000457C9" w:rsidRPr="009A0204" w:rsidRDefault="000457C9" w:rsidP="009A0204">
      <w:pPr>
        <w:pStyle w:val="Kop3"/>
        <w:rPr>
          <w:color w:val="auto"/>
        </w:rPr>
      </w:pPr>
      <w:bookmarkStart w:id="39" w:name="_Toc299913178"/>
      <w:r w:rsidRPr="009A0204">
        <w:rPr>
          <w:color w:val="auto"/>
        </w:rPr>
        <w:lastRenderedPageBreak/>
        <w:t>6.4 Opinieschrijvers</w:t>
      </w:r>
      <w:bookmarkEnd w:id="39"/>
      <w:r w:rsidRPr="009A0204">
        <w:rPr>
          <w:color w:val="auto"/>
        </w:rPr>
        <w:t xml:space="preserve"> </w:t>
      </w:r>
    </w:p>
    <w:p w:rsidR="000457C9" w:rsidRDefault="000457C9" w:rsidP="000457C9">
      <w:pPr>
        <w:spacing w:line="360" w:lineRule="auto"/>
      </w:pPr>
      <w:r>
        <w:t>Het project IFRS SME heeft meerdere accountants verleid op eigen titel een bijdrage te leveren aan het debat over de toekomst van de verslaggeving voor het MKB. Een aantal van deze stukken wordt hier kort aangehaald, om een beeld te schetsen van de gedachten over het project.</w:t>
      </w:r>
    </w:p>
    <w:p w:rsidR="000457C9" w:rsidRDefault="000457C9" w:rsidP="000457C9">
      <w:pPr>
        <w:spacing w:line="360" w:lineRule="auto"/>
      </w:pPr>
      <w:r>
        <w:t>Toine Goossens verkondigt in zijn artikel</w:t>
      </w:r>
      <w:r>
        <w:rPr>
          <w:rStyle w:val="Voetnootmarkering"/>
        </w:rPr>
        <w:footnoteReference w:id="177"/>
      </w:r>
      <w:r>
        <w:t xml:space="preserve"> een negatieve mening over IFRS SME. Hij is van mening dat een dergelijk project niet tot stand kan komen via een centraal georganiseerd orgaan, omdat de verslaggeving door teveel factoren wordt beïnvloed. Feedback zou permanent gevraagd en gegeven moeten worden, en zou direct verwerkt moeten worden in de regelgeving. Het huidige stelsel, waarbij slechts op geregisseerde momenten ruimte is voor inbreng van belanghebbenden, heeft met de IFRS </w:t>
      </w:r>
      <w:proofErr w:type="spellStart"/>
      <w:r>
        <w:t>SME-standaard</w:t>
      </w:r>
      <w:proofErr w:type="spellEnd"/>
      <w:r>
        <w:t xml:space="preserve"> een zwak product opgeleverd. Er is een te grote kans op fouten en uitvoering zou gepaard gaan met hoge kosten.</w:t>
      </w:r>
    </w:p>
    <w:p w:rsidR="000457C9" w:rsidRDefault="000457C9" w:rsidP="000457C9">
      <w:pPr>
        <w:spacing w:line="360" w:lineRule="auto"/>
      </w:pPr>
      <w:r>
        <w:t>Er zijn ook positieve stukken geschreven over de standaard. Een voorbeeld hiervan is de bijdrage van Cees van Geffen et al. in de categorie ‘vaktechniek’ van Accountancynieuws.nl</w:t>
      </w:r>
      <w:r>
        <w:rPr>
          <w:rStyle w:val="Voetnootmarkering"/>
        </w:rPr>
        <w:footnoteReference w:id="178"/>
      </w:r>
      <w:r>
        <w:t xml:space="preserve">. In dit stuk wordt naar voren gebracht dat de administratieve lasten van IFRS SME weliswaar iets zwaarder zijn dan bij Dutch GAAP, maar dat dit niet opweegt tegen de voordelen die optreden bij een brede toepassing van de standaard. Het feit dat er gebruik zou worden gemaakt van één stelsel levert namelijk een dusdanige toename in de internationale vergelijkbaarheid op, dat zowel gebruikers van jaarrekeningen als ondernemingen ervan profiteren. De verbetering van de toegang tot internationale kapitaalmarkten voor kleinere ondernemingen is hier een voorbeeld van. </w:t>
      </w:r>
    </w:p>
    <w:p w:rsidR="000457C9" w:rsidRDefault="000457C9" w:rsidP="000457C9">
      <w:pPr>
        <w:spacing w:line="360" w:lineRule="auto"/>
      </w:pPr>
      <w:r>
        <w:t>Deze voordelen treden uiteraard pas op als dat toepassing van IFRS SME daadwerkelijk breed gedragen wordt. Op het moment dat een relatief klein deel van de ondernemingen gebruik maakt van dezelfde standaard levert dit weinig positieve effecten op, doordat daarnaast nog altijd de nationale stelsels in gebruik zijn. Dit is een argument om bij een eventuele invoering van IFRS SME te zorgen voor een wijdverbreid gebruik, aangezien de toegevoegde waarde anders nihil is.</w:t>
      </w:r>
    </w:p>
    <w:p w:rsidR="000457C9" w:rsidRDefault="000457C9" w:rsidP="000457C9">
      <w:pPr>
        <w:spacing w:line="360" w:lineRule="auto"/>
      </w:pPr>
      <w:r>
        <w:t>Met deze twee voorbeelden is aangetoond dat er verschillende denkwijzen bestaan bij opinieschrijvers over de wenselijkheid van invoering van IFRS SME, uitgebreidere artikelen zijn te vinden in de diverse vakbladen.</w:t>
      </w:r>
    </w:p>
    <w:p w:rsidR="000457C9" w:rsidRPr="009A0204" w:rsidRDefault="000457C9" w:rsidP="009A0204">
      <w:pPr>
        <w:pStyle w:val="Kop3"/>
        <w:rPr>
          <w:color w:val="auto"/>
        </w:rPr>
      </w:pPr>
      <w:bookmarkStart w:id="40" w:name="_Toc299913179"/>
      <w:r w:rsidRPr="009A0204">
        <w:rPr>
          <w:color w:val="auto"/>
        </w:rPr>
        <w:lastRenderedPageBreak/>
        <w:t>6.5 Overige belanghebbenden</w:t>
      </w:r>
      <w:bookmarkEnd w:id="40"/>
    </w:p>
    <w:p w:rsidR="009A0204" w:rsidRDefault="000457C9" w:rsidP="000457C9">
      <w:pPr>
        <w:spacing w:line="360" w:lineRule="auto"/>
        <w:rPr>
          <w:rFonts w:ascii="Calibri" w:eastAsia="Calibri" w:hAnsi="Calibri" w:cs="Times New Roman"/>
        </w:rPr>
      </w:pPr>
      <w:r w:rsidRPr="00240B0F">
        <w:rPr>
          <w:rFonts w:ascii="Calibri" w:eastAsia="Calibri" w:hAnsi="Calibri" w:cs="Times New Roman"/>
        </w:rPr>
        <w:t xml:space="preserve">Een opvallende bron van verzet tegen invoering van de IFRS SME standaard komt voort uit Oost-Europese landen, waar lokale adviseurs vrezen voor concurrentie uit het </w:t>
      </w:r>
      <w:r>
        <w:rPr>
          <w:rFonts w:ascii="Calibri" w:eastAsia="Calibri" w:hAnsi="Calibri" w:cs="Times New Roman"/>
        </w:rPr>
        <w:t>W</w:t>
      </w:r>
      <w:r w:rsidRPr="00240B0F">
        <w:rPr>
          <w:rFonts w:ascii="Calibri" w:eastAsia="Calibri" w:hAnsi="Calibri" w:cs="Times New Roman"/>
        </w:rPr>
        <w:t>esten</w:t>
      </w:r>
      <w:r w:rsidRPr="00240B0F">
        <w:rPr>
          <w:rFonts w:ascii="Calibri" w:eastAsia="Calibri" w:hAnsi="Calibri" w:cs="Times New Roman"/>
          <w:vertAlign w:val="superscript"/>
        </w:rPr>
        <w:footnoteReference w:id="179"/>
      </w:r>
      <w:r w:rsidRPr="00240B0F">
        <w:rPr>
          <w:rFonts w:ascii="Calibri" w:eastAsia="Calibri" w:hAnsi="Calibri" w:cs="Times New Roman"/>
        </w:rPr>
        <w:t xml:space="preserve">. </w:t>
      </w:r>
    </w:p>
    <w:p w:rsidR="000457C9" w:rsidRDefault="000457C9" w:rsidP="000457C9">
      <w:pPr>
        <w:spacing w:line="360" w:lineRule="auto"/>
        <w:rPr>
          <w:rFonts w:ascii="Calibri" w:eastAsia="Calibri" w:hAnsi="Calibri" w:cs="Times New Roman"/>
        </w:rPr>
      </w:pPr>
      <w:r w:rsidRPr="00240B0F">
        <w:rPr>
          <w:rFonts w:ascii="Calibri" w:eastAsia="Calibri" w:hAnsi="Calibri" w:cs="Times New Roman"/>
        </w:rPr>
        <w:t xml:space="preserve">Op dit moment wordt er in deze landen gerapporteerd volgens uiteenlopende nationale standaarden, waar de lokale adviseurs van profiteren. Zij bezitten kennis over de regels die gelden in hun land, regels die vaak sterk verschillen van regels in buurlanden. Invoering van IFRS SME zou betekenen dat het belang van deze kennis verdwijnt, waardoor hun toegevoegde waarde ook sterk vermindert. Westerse adviesbureaus zullen hun rol waarschijnlijk overnemen, doordat zij beter in staat zijn in te spelen op de veranderende omstandigheden. </w:t>
      </w:r>
    </w:p>
    <w:p w:rsidR="000457C9" w:rsidRDefault="000457C9" w:rsidP="000457C9">
      <w:pPr>
        <w:spacing w:line="360" w:lineRule="auto"/>
        <w:rPr>
          <w:rFonts w:ascii="Calibri" w:eastAsia="Calibri" w:hAnsi="Calibri" w:cs="Times New Roman"/>
        </w:rPr>
      </w:pPr>
      <w:r>
        <w:rPr>
          <w:rFonts w:ascii="Calibri" w:eastAsia="Calibri" w:hAnsi="Calibri" w:cs="Times New Roman"/>
        </w:rPr>
        <w:t>Deze vrees zal niet alleen bij deze groep spelen, maar ook bij kleine partijen uit Aziatische landen en uit het Midden-Oosten. Voor het draagvlak binnen deze landen kan het een probleem zijn als deze groepen gaan lobbyen tegen IFRS SME. Het kan zijn dat dit wordt opgepakt door politici die zich verzetten tegen westerse invloeden, wat weer aangewakkerd kan worden door andere partijen.</w:t>
      </w:r>
    </w:p>
    <w:p w:rsidR="000457C9" w:rsidRDefault="000457C9" w:rsidP="000457C9">
      <w:pPr>
        <w:spacing w:line="360" w:lineRule="auto"/>
        <w:rPr>
          <w:rFonts w:ascii="Calibri" w:eastAsia="Calibri" w:hAnsi="Calibri" w:cs="Times New Roman"/>
        </w:rPr>
      </w:pPr>
      <w:r>
        <w:rPr>
          <w:rFonts w:ascii="Calibri" w:eastAsia="Calibri" w:hAnsi="Calibri" w:cs="Times New Roman"/>
        </w:rPr>
        <w:t>IFRS SME is weliswaar mede gecreëerd om opkomende economieën een solide systeem van regelgeving te bieden voor de externe verslaggeving</w:t>
      </w:r>
      <w:r>
        <w:rPr>
          <w:rStyle w:val="Voetnootmarkering"/>
          <w:rFonts w:ascii="Calibri" w:eastAsia="Calibri" w:hAnsi="Calibri" w:cs="Times New Roman"/>
        </w:rPr>
        <w:footnoteReference w:id="180"/>
      </w:r>
      <w:r>
        <w:rPr>
          <w:rFonts w:ascii="Calibri" w:eastAsia="Calibri" w:hAnsi="Calibri" w:cs="Times New Roman"/>
        </w:rPr>
        <w:t xml:space="preserve">, maar het blijft een product dat vooral is ingericht aan de hand van inbreng van grote westerse instanties. Het draagvlak in de wereld voor westerse ideeën is niet altijd gegeven, zoals in het verleden meerdere malen is gebleken, en zal wellicht nader onderzocht moeten worden. </w:t>
      </w:r>
    </w:p>
    <w:p w:rsidR="000457C9" w:rsidRPr="009A0204" w:rsidRDefault="000457C9" w:rsidP="009A0204">
      <w:pPr>
        <w:pStyle w:val="Kop3"/>
        <w:rPr>
          <w:rFonts w:eastAsia="Calibri"/>
          <w:color w:val="auto"/>
        </w:rPr>
      </w:pPr>
      <w:bookmarkStart w:id="41" w:name="_Toc299913180"/>
      <w:r w:rsidRPr="009A0204">
        <w:rPr>
          <w:rFonts w:eastAsia="Calibri"/>
          <w:color w:val="auto"/>
        </w:rPr>
        <w:t>6.6 Conclusie</w:t>
      </w:r>
      <w:bookmarkEnd w:id="41"/>
      <w:r w:rsidRPr="009A0204">
        <w:rPr>
          <w:rFonts w:eastAsia="Calibri"/>
          <w:color w:val="auto"/>
        </w:rPr>
        <w:t xml:space="preserve"> </w:t>
      </w:r>
    </w:p>
    <w:p w:rsidR="000457C9" w:rsidRDefault="000457C9" w:rsidP="000457C9">
      <w:pPr>
        <w:spacing w:line="360" w:lineRule="auto"/>
        <w:rPr>
          <w:rFonts w:ascii="Calibri" w:eastAsia="Calibri" w:hAnsi="Calibri" w:cs="Times New Roman"/>
          <w:i/>
        </w:rPr>
      </w:pPr>
      <w:r>
        <w:rPr>
          <w:rFonts w:ascii="Calibri" w:eastAsia="Calibri" w:hAnsi="Calibri" w:cs="Times New Roman"/>
        </w:rPr>
        <w:t xml:space="preserve">In dit hoofdstuk is een aantal voorbeelden behandeld om te laten zien hoe diverse partijen uit de praktijk denken over de </w:t>
      </w:r>
      <w:proofErr w:type="spellStart"/>
      <w:r>
        <w:rPr>
          <w:rFonts w:ascii="Calibri" w:eastAsia="Calibri" w:hAnsi="Calibri" w:cs="Times New Roman"/>
        </w:rPr>
        <w:t>IFRS-standaard</w:t>
      </w:r>
      <w:proofErr w:type="spellEnd"/>
      <w:r>
        <w:rPr>
          <w:rFonts w:ascii="Calibri" w:eastAsia="Calibri" w:hAnsi="Calibri" w:cs="Times New Roman"/>
        </w:rPr>
        <w:t xml:space="preserve"> voor </w:t>
      </w:r>
      <w:proofErr w:type="spellStart"/>
      <w:r>
        <w:rPr>
          <w:rFonts w:ascii="Calibri" w:eastAsia="Calibri" w:hAnsi="Calibri" w:cs="Times New Roman"/>
        </w:rPr>
        <w:t>small</w:t>
      </w:r>
      <w:proofErr w:type="spellEnd"/>
      <w:r>
        <w:rPr>
          <w:rFonts w:ascii="Calibri" w:eastAsia="Calibri" w:hAnsi="Calibri" w:cs="Times New Roman"/>
        </w:rPr>
        <w:t xml:space="preserve"> and </w:t>
      </w:r>
      <w:proofErr w:type="spellStart"/>
      <w:r>
        <w:rPr>
          <w:rFonts w:ascii="Calibri" w:eastAsia="Calibri" w:hAnsi="Calibri" w:cs="Times New Roman"/>
        </w:rPr>
        <w:t>medium-sized</w:t>
      </w:r>
      <w:proofErr w:type="spellEnd"/>
      <w:r>
        <w:rPr>
          <w:rFonts w:ascii="Calibri" w:eastAsia="Calibri" w:hAnsi="Calibri" w:cs="Times New Roman"/>
        </w:rPr>
        <w:t xml:space="preserve"> </w:t>
      </w:r>
      <w:proofErr w:type="spellStart"/>
      <w:r>
        <w:rPr>
          <w:rFonts w:ascii="Calibri" w:eastAsia="Calibri" w:hAnsi="Calibri" w:cs="Times New Roman"/>
        </w:rPr>
        <w:t>entities</w:t>
      </w:r>
      <w:proofErr w:type="spellEnd"/>
      <w:r>
        <w:rPr>
          <w:rFonts w:ascii="Calibri" w:eastAsia="Calibri" w:hAnsi="Calibri" w:cs="Times New Roman"/>
        </w:rPr>
        <w:t xml:space="preserve">. Hiermee is deelvraag zes behandeld: </w:t>
      </w:r>
      <w:r>
        <w:rPr>
          <w:rFonts w:ascii="Calibri" w:eastAsia="Calibri" w:hAnsi="Calibri" w:cs="Times New Roman"/>
          <w:i/>
        </w:rPr>
        <w:t xml:space="preserve">Hoe kijkt de praktijk aan tegen de IFRS </w:t>
      </w:r>
      <w:proofErr w:type="spellStart"/>
      <w:r>
        <w:rPr>
          <w:rFonts w:ascii="Calibri" w:eastAsia="Calibri" w:hAnsi="Calibri" w:cs="Times New Roman"/>
          <w:i/>
        </w:rPr>
        <w:t>SME-standaard</w:t>
      </w:r>
      <w:proofErr w:type="spellEnd"/>
      <w:r>
        <w:rPr>
          <w:rFonts w:ascii="Calibri" w:eastAsia="Calibri" w:hAnsi="Calibri" w:cs="Times New Roman"/>
          <w:i/>
        </w:rPr>
        <w:t>?</w:t>
      </w:r>
    </w:p>
    <w:p w:rsidR="000457C9" w:rsidRDefault="000457C9" w:rsidP="000457C9">
      <w:pPr>
        <w:spacing w:line="360" w:lineRule="auto"/>
        <w:rPr>
          <w:rFonts w:ascii="Calibri" w:eastAsia="Calibri" w:hAnsi="Calibri" w:cs="Times New Roman"/>
        </w:rPr>
      </w:pPr>
      <w:r>
        <w:rPr>
          <w:rFonts w:ascii="Calibri" w:eastAsia="Calibri" w:hAnsi="Calibri" w:cs="Times New Roman"/>
        </w:rPr>
        <w:t xml:space="preserve">Gezien is dat de meningen uiteenlopen en dat dit niet alleen tussen categorieën belanghebbenden verschilt, maar ook binnen dezelfde groep. Zo zijn er opinieschrijvers die een uitgesproken mening hebben voor IFRS SME, maar er zijn ook tegenstanders onder hen te vinden. </w:t>
      </w:r>
    </w:p>
    <w:p w:rsidR="000457C9" w:rsidRDefault="000457C9" w:rsidP="000457C9">
      <w:pPr>
        <w:spacing w:line="360" w:lineRule="auto"/>
        <w:rPr>
          <w:rFonts w:ascii="Calibri" w:eastAsia="Calibri" w:hAnsi="Calibri" w:cs="Times New Roman"/>
        </w:rPr>
      </w:pPr>
      <w:r>
        <w:rPr>
          <w:rFonts w:ascii="Calibri" w:eastAsia="Calibri" w:hAnsi="Calibri" w:cs="Times New Roman"/>
        </w:rPr>
        <w:t>Getoond is ook dat er binnen de Europese Commissie, die een belangrijke rol kan spelen bij een eventuele invoering van IFRS in Europa, positief gedacht wordt over IFRS SME, maar dat er ook kanttekeningen bestaan bij bepaalde aspecten.</w:t>
      </w:r>
    </w:p>
    <w:p w:rsidR="000457C9" w:rsidRPr="00265C29" w:rsidRDefault="000457C9" w:rsidP="000457C9">
      <w:pPr>
        <w:spacing w:line="360" w:lineRule="auto"/>
      </w:pPr>
      <w:r>
        <w:rPr>
          <w:rFonts w:ascii="Calibri" w:eastAsia="Calibri" w:hAnsi="Calibri" w:cs="Times New Roman"/>
        </w:rPr>
        <w:t xml:space="preserve">Deze overwegingen worden meegenomen in de afsluitende beschouwing, waarin de centrale probleemstelling wordt beantwoord. </w:t>
      </w:r>
    </w:p>
    <w:p w:rsidR="00417F79" w:rsidRPr="009A0204" w:rsidRDefault="00417F79" w:rsidP="009A0204">
      <w:pPr>
        <w:pStyle w:val="Kop2"/>
        <w:rPr>
          <w:color w:val="auto"/>
        </w:rPr>
      </w:pPr>
      <w:bookmarkStart w:id="42" w:name="_Toc299913181"/>
      <w:r w:rsidRPr="009A0204">
        <w:rPr>
          <w:color w:val="auto"/>
        </w:rPr>
        <w:lastRenderedPageBreak/>
        <w:t xml:space="preserve">Hoofdstuk 7 – </w:t>
      </w:r>
      <w:r w:rsidR="00735F36" w:rsidRPr="009A0204">
        <w:rPr>
          <w:color w:val="auto"/>
        </w:rPr>
        <w:t>Samenvatting, conclusie</w:t>
      </w:r>
      <w:r w:rsidR="009A0204" w:rsidRPr="009A0204">
        <w:rPr>
          <w:color w:val="auto"/>
        </w:rPr>
        <w:t>s</w:t>
      </w:r>
      <w:r w:rsidR="00735F36" w:rsidRPr="009A0204">
        <w:rPr>
          <w:color w:val="auto"/>
        </w:rPr>
        <w:t xml:space="preserve"> en aanbevelingen</w:t>
      </w:r>
      <w:bookmarkEnd w:id="42"/>
    </w:p>
    <w:p w:rsidR="008E1F85" w:rsidRPr="009A0204" w:rsidRDefault="00EF7B6A" w:rsidP="009A0204">
      <w:pPr>
        <w:pStyle w:val="Kop3"/>
        <w:rPr>
          <w:color w:val="auto"/>
        </w:rPr>
      </w:pPr>
      <w:bookmarkStart w:id="43" w:name="_Toc299913182"/>
      <w:r w:rsidRPr="009A0204">
        <w:rPr>
          <w:color w:val="auto"/>
        </w:rPr>
        <w:t>7.1 Samenvatting</w:t>
      </w:r>
      <w:bookmarkEnd w:id="43"/>
    </w:p>
    <w:p w:rsidR="00EF7B6A" w:rsidRDefault="00EF7B6A" w:rsidP="00EF7B6A">
      <w:pPr>
        <w:spacing w:line="360" w:lineRule="auto"/>
      </w:pPr>
      <w:r>
        <w:t xml:space="preserve">In deze paragraaf wordt nog eenmaal kort samengevat wat er in het </w:t>
      </w:r>
      <w:r w:rsidR="00743F37">
        <w:t xml:space="preserve">voorgaande </w:t>
      </w:r>
      <w:r w:rsidR="000B0A78">
        <w:t xml:space="preserve">aan de orde is geweest, waarna in de volgende paragraaf conclusies worden getrokken. Deze conclusies zijn uiteraard gebaseerd op de resultaten van het onderzoek, zoals die eerder zijn behandeld en hier zijn samengevat. </w:t>
      </w:r>
    </w:p>
    <w:p w:rsidR="00156C35" w:rsidRPr="00743F37" w:rsidRDefault="00743F37" w:rsidP="00EF7B6A">
      <w:pPr>
        <w:spacing w:line="360" w:lineRule="auto"/>
        <w:rPr>
          <w:rFonts w:ascii="Arial" w:hAnsi="Arial" w:cs="Arial"/>
          <w:b/>
        </w:rPr>
      </w:pPr>
      <w:r>
        <w:rPr>
          <w:b/>
        </w:rPr>
        <w:t>7.1.1 Deelvraag één</w:t>
      </w:r>
    </w:p>
    <w:p w:rsidR="000B0A78" w:rsidRDefault="00DF07D9" w:rsidP="00EF7B6A">
      <w:pPr>
        <w:spacing w:line="360" w:lineRule="auto"/>
      </w:pPr>
      <w:r>
        <w:t xml:space="preserve">Bij </w:t>
      </w:r>
      <w:r w:rsidR="00743F37">
        <w:t>de beantwoording van deelvraag 1</w:t>
      </w:r>
      <w:r>
        <w:t xml:space="preserve"> – </w:t>
      </w:r>
      <w:r>
        <w:rPr>
          <w:i/>
        </w:rPr>
        <w:t xml:space="preserve">wat houdt IFRS SME in? – </w:t>
      </w:r>
      <w:r>
        <w:t xml:space="preserve">is allereerst de organisatie achter de </w:t>
      </w:r>
      <w:proofErr w:type="spellStart"/>
      <w:r>
        <w:t>IFRS-standaarden</w:t>
      </w:r>
      <w:proofErr w:type="spellEnd"/>
      <w:r>
        <w:t xml:space="preserve"> behandeld. Dit is de International Accounting </w:t>
      </w:r>
      <w:proofErr w:type="spellStart"/>
      <w:r>
        <w:t>Standards</w:t>
      </w:r>
      <w:proofErr w:type="spellEnd"/>
      <w:r>
        <w:t xml:space="preserve"> Board, een orgaan van de IFRS Foundation. Het project IFRS SME bestaat uit een compleet pakket aan regelgeving, specifiek gericht op de kleine en middelgrote ondernemingen. </w:t>
      </w:r>
      <w:r w:rsidR="005422F5">
        <w:t xml:space="preserve">De standaard is bedoeld voor ondernemingen </w:t>
      </w:r>
      <w:r w:rsidR="005422F5">
        <w:rPr>
          <w:i/>
        </w:rPr>
        <w:t xml:space="preserve">zonder </w:t>
      </w:r>
      <w:r w:rsidR="005422F5">
        <w:t xml:space="preserve">public </w:t>
      </w:r>
      <w:proofErr w:type="spellStart"/>
      <w:r w:rsidR="005422F5">
        <w:t>accountability</w:t>
      </w:r>
      <w:proofErr w:type="spellEnd"/>
      <w:r w:rsidR="005422F5">
        <w:t xml:space="preserve"> die </w:t>
      </w:r>
      <w:r w:rsidR="005422F5">
        <w:rPr>
          <w:i/>
        </w:rPr>
        <w:t xml:space="preserve">wel </w:t>
      </w:r>
      <w:proofErr w:type="spellStart"/>
      <w:r w:rsidR="005422F5">
        <w:t>general</w:t>
      </w:r>
      <w:proofErr w:type="spellEnd"/>
      <w:r w:rsidR="005422F5">
        <w:t xml:space="preserve"> </w:t>
      </w:r>
      <w:proofErr w:type="spellStart"/>
      <w:r w:rsidR="005422F5">
        <w:t>purpose</w:t>
      </w:r>
      <w:proofErr w:type="spellEnd"/>
      <w:r w:rsidR="005422F5">
        <w:t xml:space="preserve"> </w:t>
      </w:r>
      <w:proofErr w:type="spellStart"/>
      <w:r w:rsidR="005422F5">
        <w:t>financial</w:t>
      </w:r>
      <w:proofErr w:type="spellEnd"/>
      <w:r w:rsidR="005422F5">
        <w:t xml:space="preserve"> statements publiceren voor externe gebruikers. </w:t>
      </w:r>
      <w:r w:rsidR="008A4700">
        <w:t xml:space="preserve">Dit heeft als gevolg dat de standaard alleen toegepast kan worden door ondernemingen die geen financiële instrumenten uitgeven op een publieke markt, waardoor beursgenoteerde ondernemingen in ieder geval </w:t>
      </w:r>
      <w:r w:rsidR="008A4700" w:rsidRPr="00743F37">
        <w:rPr>
          <w:i/>
        </w:rPr>
        <w:t>niet</w:t>
      </w:r>
      <w:r w:rsidR="008A4700">
        <w:t xml:space="preserve"> in aanmerking komen voor gebruik ervan. </w:t>
      </w:r>
      <w:r w:rsidR="005422F5">
        <w:t xml:space="preserve">Hierbij is geconcludeerd dat deze afgrenzing van de groep </w:t>
      </w:r>
      <w:proofErr w:type="spellStart"/>
      <w:r w:rsidR="005422F5">
        <w:t>small</w:t>
      </w:r>
      <w:proofErr w:type="spellEnd"/>
      <w:r w:rsidR="005422F5">
        <w:t xml:space="preserve"> and </w:t>
      </w:r>
      <w:proofErr w:type="spellStart"/>
      <w:r w:rsidR="005422F5">
        <w:t>medium-sized</w:t>
      </w:r>
      <w:proofErr w:type="spellEnd"/>
      <w:r w:rsidR="005422F5">
        <w:t xml:space="preserve"> </w:t>
      </w:r>
      <w:proofErr w:type="spellStart"/>
      <w:r w:rsidR="005422F5">
        <w:t>entities</w:t>
      </w:r>
      <w:proofErr w:type="spellEnd"/>
      <w:r w:rsidR="005422F5">
        <w:t xml:space="preserve"> sterk verschilt van de kwantitatieve normen die veel landen gebruiken om te bepalen of een onderneming tot de </w:t>
      </w:r>
      <w:proofErr w:type="spellStart"/>
      <w:r w:rsidR="005422F5">
        <w:t>MKB-categorie</w:t>
      </w:r>
      <w:proofErr w:type="spellEnd"/>
      <w:r w:rsidR="005422F5">
        <w:t xml:space="preserve"> behoort. De</w:t>
      </w:r>
      <w:r w:rsidR="00743F37">
        <w:t xml:space="preserve"> IASB achtte het niet mogelijk </w:t>
      </w:r>
      <w:r w:rsidR="005422F5">
        <w:t>kwantitatieve normen te creëren die voor alle landen bruikbaar zouden zijn.</w:t>
      </w:r>
      <w:r w:rsidR="008A4700">
        <w:t xml:space="preserve"> </w:t>
      </w:r>
    </w:p>
    <w:p w:rsidR="008A4700" w:rsidRDefault="008A4700" w:rsidP="00EF7B6A">
      <w:pPr>
        <w:spacing w:line="360" w:lineRule="auto"/>
      </w:pPr>
      <w:r>
        <w:t xml:space="preserve">Nadat de </w:t>
      </w:r>
      <w:r w:rsidR="00156C35">
        <w:t>doelgroep</w:t>
      </w:r>
      <w:r>
        <w:t xml:space="preserve"> van het project IFRS SME is behandeld, kwam de status van het project aan bod. Ook dit aspect is van belang voor de beantwoording van de eerste deelvraag. Geconcludeerd is dat </w:t>
      </w:r>
      <w:r w:rsidR="00AB43E7">
        <w:t xml:space="preserve">IFRS SME pas toegepast kan worden na goedkeuring door de bevoegde instanties, aangezien de </w:t>
      </w:r>
      <w:proofErr w:type="spellStart"/>
      <w:r w:rsidR="00AB43E7">
        <w:t>IFRS-standaarden</w:t>
      </w:r>
      <w:proofErr w:type="spellEnd"/>
      <w:r w:rsidR="00AB43E7">
        <w:t xml:space="preserve"> op zich geen bindende kracht hebben. Dit hebben zij pas na implementatie door nationale autoriteiten, of door de Europese Commissie die deze bevoegdheid heeft voor landen van de Europese Unie. Na goedkeuring zou een jaarrekening conform IFRS SME aan de maatschappelijke eisen moeten voldoen. Toepassing is nog niet mogelijk in Nederland</w:t>
      </w:r>
      <w:r w:rsidR="00743F37">
        <w:t>;</w:t>
      </w:r>
      <w:r w:rsidR="00AB43E7">
        <w:t xml:space="preserve"> de Europese Commissie heeft de invoeringsprocedure wel gestart. Het draagvlak voor toepassing van de standaard is niet in alle landen gelijk, zo zijn de Verenigde Staten en het Verenigd Koninkrijk voor invoering, </w:t>
      </w:r>
      <w:r w:rsidR="00870431">
        <w:t xml:space="preserve">terwijl Duitsland en Frankrijk nog </w:t>
      </w:r>
      <w:r w:rsidR="00AB43E7">
        <w:t>geen invoeringsplannen</w:t>
      </w:r>
      <w:r w:rsidR="00870431">
        <w:t xml:space="preserve"> hebben.</w:t>
      </w:r>
    </w:p>
    <w:p w:rsidR="009A0204" w:rsidRDefault="009A0204" w:rsidP="00EF7B6A">
      <w:pPr>
        <w:spacing w:line="360" w:lineRule="auto"/>
        <w:rPr>
          <w:b/>
        </w:rPr>
      </w:pPr>
    </w:p>
    <w:p w:rsidR="009A0204" w:rsidRDefault="009A0204" w:rsidP="00EF7B6A">
      <w:pPr>
        <w:spacing w:line="360" w:lineRule="auto"/>
        <w:rPr>
          <w:b/>
        </w:rPr>
      </w:pPr>
    </w:p>
    <w:p w:rsidR="009A0204" w:rsidRDefault="009A0204" w:rsidP="00EF7B6A">
      <w:pPr>
        <w:spacing w:line="360" w:lineRule="auto"/>
        <w:rPr>
          <w:b/>
        </w:rPr>
      </w:pPr>
    </w:p>
    <w:p w:rsidR="00AB43E7" w:rsidRDefault="00156C35" w:rsidP="00EF7B6A">
      <w:pPr>
        <w:spacing w:line="360" w:lineRule="auto"/>
        <w:rPr>
          <w:b/>
        </w:rPr>
      </w:pPr>
      <w:r>
        <w:rPr>
          <w:b/>
        </w:rPr>
        <w:lastRenderedPageBreak/>
        <w:t>7.1.2 Deelvraag twee</w:t>
      </w:r>
    </w:p>
    <w:p w:rsidR="00156C35" w:rsidRDefault="00156C35" w:rsidP="00EF7B6A">
      <w:pPr>
        <w:spacing w:line="360" w:lineRule="auto"/>
        <w:rPr>
          <w:i/>
        </w:rPr>
      </w:pPr>
      <w:r>
        <w:t xml:space="preserve">Na de beschrijving van IFRS SME bij de beantwoording van deelvraag </w:t>
      </w:r>
      <w:r w:rsidR="00743F37">
        <w:t>1</w:t>
      </w:r>
      <w:r>
        <w:t xml:space="preserve">, waarbij vooral aandacht is besteed aan de doelgroep en aan de internationale status van het project, is de totstandkoming van de standaard belicht. Dit gebeurde voor de beantwoording van deelvraag </w:t>
      </w:r>
      <w:r w:rsidR="00743F37">
        <w:t>2</w:t>
      </w:r>
      <w:r>
        <w:t xml:space="preserve">: </w:t>
      </w:r>
      <w:r>
        <w:rPr>
          <w:i/>
        </w:rPr>
        <w:t>Hoe is IFRS SME tot stand gekomen?</w:t>
      </w:r>
    </w:p>
    <w:p w:rsidR="00156C35" w:rsidRPr="00156C35" w:rsidRDefault="00156C35" w:rsidP="00EF7B6A">
      <w:pPr>
        <w:spacing w:line="360" w:lineRule="auto"/>
      </w:pPr>
      <w:r>
        <w:t xml:space="preserve">Hierbij is gekozen voor een opzet waarbij eerst het algemene </w:t>
      </w:r>
      <w:proofErr w:type="spellStart"/>
      <w:r>
        <w:t>totstandkomingsproces</w:t>
      </w:r>
      <w:proofErr w:type="spellEnd"/>
      <w:r>
        <w:t xml:space="preserve"> is belicht, gevolgd door een invulling hiervan aan de hand van het project IFRS SME. Aangetoond is dat er veel ruimte is geweest voor inspraak van belanghebbenden, bijvoorbeeld via reacties op de </w:t>
      </w:r>
      <w:proofErr w:type="spellStart"/>
      <w:r>
        <w:rPr>
          <w:i/>
        </w:rPr>
        <w:t>Discussion</w:t>
      </w:r>
      <w:proofErr w:type="spellEnd"/>
      <w:r>
        <w:rPr>
          <w:i/>
        </w:rPr>
        <w:t xml:space="preserve"> Paper </w:t>
      </w:r>
      <w:r>
        <w:t xml:space="preserve">en de </w:t>
      </w:r>
      <w:proofErr w:type="spellStart"/>
      <w:r>
        <w:rPr>
          <w:i/>
        </w:rPr>
        <w:t>Exposure</w:t>
      </w:r>
      <w:proofErr w:type="spellEnd"/>
      <w:r>
        <w:rPr>
          <w:i/>
        </w:rPr>
        <w:t xml:space="preserve"> </w:t>
      </w:r>
      <w:proofErr w:type="spellStart"/>
      <w:r>
        <w:rPr>
          <w:i/>
        </w:rPr>
        <w:t>Draft</w:t>
      </w:r>
      <w:proofErr w:type="spellEnd"/>
      <w:r>
        <w:rPr>
          <w:i/>
        </w:rPr>
        <w:t xml:space="preserve">. </w:t>
      </w:r>
    </w:p>
    <w:p w:rsidR="00AE24A1" w:rsidRDefault="00AE24A1" w:rsidP="003C41EB">
      <w:pPr>
        <w:spacing w:line="360" w:lineRule="auto"/>
      </w:pPr>
      <w:r>
        <w:t>De belangrijkste informatie die naar voren is gekomen</w:t>
      </w:r>
      <w:r w:rsidR="00743F37">
        <w:t xml:space="preserve">, </w:t>
      </w:r>
      <w:r>
        <w:t xml:space="preserve">zijn de bedoelingen van het project. De IASB heeft het project IFRS SME op de agenda gezet om een standaard te creëren die voldoet aan de specifieke behoeften van gebruikers van jaarverslagen die worden opgesteld door </w:t>
      </w:r>
      <w:proofErr w:type="spellStart"/>
      <w:r>
        <w:t>small</w:t>
      </w:r>
      <w:proofErr w:type="spellEnd"/>
      <w:r>
        <w:t xml:space="preserve"> and </w:t>
      </w:r>
      <w:proofErr w:type="spellStart"/>
      <w:r>
        <w:t>medium-sized</w:t>
      </w:r>
      <w:proofErr w:type="spellEnd"/>
      <w:r>
        <w:t xml:space="preserve"> </w:t>
      </w:r>
      <w:proofErr w:type="spellStart"/>
      <w:r>
        <w:t>entities</w:t>
      </w:r>
      <w:proofErr w:type="spellEnd"/>
      <w:r>
        <w:t xml:space="preserve">. Gebruik van deze speciale standaard moest een geschikt alternatief worden voor de nationale regelingen en tegelijkertijd gepaard gaan met lagere kosten dan </w:t>
      </w:r>
      <w:r w:rsidR="00743F37">
        <w:t xml:space="preserve">bij </w:t>
      </w:r>
      <w:r>
        <w:t>toepassing van f</w:t>
      </w:r>
      <w:r w:rsidR="00743F37">
        <w:t xml:space="preserve">ull IFRS. </w:t>
      </w:r>
    </w:p>
    <w:p w:rsidR="003C41EB" w:rsidRDefault="00AE24A1" w:rsidP="003C41EB">
      <w:pPr>
        <w:spacing w:line="360" w:lineRule="auto"/>
      </w:pPr>
      <w:r>
        <w:t xml:space="preserve">Verder moet IFRS SME voorzien in de behoefte </w:t>
      </w:r>
      <w:r w:rsidR="003C41EB">
        <w:t>aan een toename van internationale vergelijkbaarheid op kapitaalmarkten. De nationale regelingen liepen dermate ver uiteen, dat verslaggeving niet goed vergeleken kon worden</w:t>
      </w:r>
      <w:r>
        <w:t xml:space="preserve">, wat opgelost moet worden door internationaal gebruik van IFRS SME. </w:t>
      </w:r>
      <w:r w:rsidR="003C41EB">
        <w:t>Het laatste argument dat is behandeld</w:t>
      </w:r>
      <w:r w:rsidR="00743F37">
        <w:t>,</w:t>
      </w:r>
      <w:r w:rsidR="003C41EB">
        <w:t xml:space="preserve"> is te vinden in de vraag naar informatie van hogere kwaliteit. Verslaggeving op basis van de standaard IFRS </w:t>
      </w:r>
      <w:proofErr w:type="spellStart"/>
      <w:r w:rsidR="003C41EB">
        <w:t>for</w:t>
      </w:r>
      <w:proofErr w:type="spellEnd"/>
      <w:r w:rsidR="003C41EB">
        <w:t xml:space="preserve"> </w:t>
      </w:r>
      <w:proofErr w:type="spellStart"/>
      <w:r w:rsidR="003C41EB">
        <w:t>SMEs</w:t>
      </w:r>
      <w:proofErr w:type="spellEnd"/>
      <w:r w:rsidR="003C41EB">
        <w:t xml:space="preserve"> moet voldoen aan de hoge kwaliteitsstandaarden van de IASB, waarmee een eind moet komen aan verslaggeving van mindere kwaliteit op basis van lokale regelgeving. </w:t>
      </w:r>
    </w:p>
    <w:p w:rsidR="00AE24A1" w:rsidRDefault="004A450D" w:rsidP="003C41EB">
      <w:pPr>
        <w:spacing w:line="360" w:lineRule="auto"/>
        <w:rPr>
          <w:b/>
        </w:rPr>
      </w:pPr>
      <w:r>
        <w:rPr>
          <w:b/>
        </w:rPr>
        <w:t>7.1.3 Deelvraag drie</w:t>
      </w:r>
    </w:p>
    <w:p w:rsidR="004A450D" w:rsidRDefault="007C03B9" w:rsidP="003C41EB">
      <w:pPr>
        <w:spacing w:line="360" w:lineRule="auto"/>
      </w:pPr>
      <w:r>
        <w:t xml:space="preserve">De analyse van het project IFRS SME is vervolgd met een vergelijking van de regelgeving met twee andere stelsels, namelijk de Nederlandse wet- en regelgeving en full IFRS. </w:t>
      </w:r>
    </w:p>
    <w:p w:rsidR="006C68C6" w:rsidRDefault="006C68C6" w:rsidP="003C41EB">
      <w:pPr>
        <w:spacing w:line="360" w:lineRule="auto"/>
      </w:pPr>
      <w:r>
        <w:t xml:space="preserve">Hierbij is gekeken naar de eisen die gesteld worden aan de verslaggeving van balansposten en de resultatenrekening, afgesloten met een analyse van de criteria die worden gehanteerd bij consolidatie. </w:t>
      </w:r>
    </w:p>
    <w:p w:rsidR="006C68C6" w:rsidRDefault="006C68C6" w:rsidP="003C41EB">
      <w:pPr>
        <w:spacing w:line="360" w:lineRule="auto"/>
      </w:pPr>
      <w:r>
        <w:t xml:space="preserve">Deze verschillenanalyse beantwoordt deelvraag </w:t>
      </w:r>
      <w:r w:rsidR="00743F37">
        <w:t>3</w:t>
      </w:r>
      <w:r>
        <w:t xml:space="preserve">: </w:t>
      </w:r>
      <w:r>
        <w:rPr>
          <w:i/>
        </w:rPr>
        <w:t xml:space="preserve">Hoe verhoudt toepassing van IFRS SME zich tot toepassing van de gebruikelijke regelgeving? </w:t>
      </w:r>
      <w:r w:rsidR="00037FAE">
        <w:t xml:space="preserve"> Voor een uiteenzetting van de verschillen verwijs ik u terug naar hoofdstuk </w:t>
      </w:r>
      <w:r w:rsidR="00743F37">
        <w:t>4</w:t>
      </w:r>
      <w:r w:rsidR="00037FAE">
        <w:t>.</w:t>
      </w:r>
    </w:p>
    <w:p w:rsidR="00037FAE" w:rsidRDefault="00037FAE" w:rsidP="003C41EB">
      <w:pPr>
        <w:spacing w:line="360" w:lineRule="auto"/>
      </w:pPr>
      <w:r>
        <w:lastRenderedPageBreak/>
        <w:t>De voornaamste algemene conclusies die voortvloeien uit de verschillen</w:t>
      </w:r>
      <w:r w:rsidR="00743F37">
        <w:t xml:space="preserve">analyse zijn: </w:t>
      </w:r>
    </w:p>
    <w:p w:rsidR="00037FAE" w:rsidRDefault="00037FAE" w:rsidP="00037FAE">
      <w:pPr>
        <w:pStyle w:val="Lijstalinea"/>
        <w:numPr>
          <w:ilvl w:val="0"/>
          <w:numId w:val="5"/>
        </w:numPr>
        <w:spacing w:line="360" w:lineRule="auto"/>
      </w:pPr>
      <w:r>
        <w:t xml:space="preserve">IFRS SME kent een aantal vereenvoudigingen, doordat er minder waarderingsgrondslagen en </w:t>
      </w:r>
      <w:r w:rsidR="00785EB3">
        <w:t>verwerkings</w:t>
      </w:r>
      <w:r>
        <w:t>methodes zijn toegestaan</w:t>
      </w:r>
      <w:r w:rsidR="00743F37">
        <w:t>;</w:t>
      </w:r>
    </w:p>
    <w:p w:rsidR="00037FAE" w:rsidRDefault="00037FAE" w:rsidP="00037FAE">
      <w:pPr>
        <w:pStyle w:val="Lijstalinea"/>
        <w:numPr>
          <w:ilvl w:val="0"/>
          <w:numId w:val="5"/>
        </w:numPr>
        <w:spacing w:line="360" w:lineRule="auto"/>
      </w:pPr>
      <w:r>
        <w:t xml:space="preserve">De IASB heeft bij IFRS SME niet gekozen voor gebruik van de fair </w:t>
      </w:r>
      <w:proofErr w:type="spellStart"/>
      <w:r>
        <w:t>value</w:t>
      </w:r>
      <w:proofErr w:type="spellEnd"/>
      <w:r>
        <w:t xml:space="preserve"> methode als waarderingsgrondslag, </w:t>
      </w:r>
      <w:r w:rsidR="00743F37">
        <w:t xml:space="preserve">wat onder full IFRS en onder Dutch GAAP wel mogelijk is. </w:t>
      </w:r>
    </w:p>
    <w:p w:rsidR="009252FE" w:rsidRDefault="00037FAE" w:rsidP="00037FAE">
      <w:pPr>
        <w:spacing w:line="360" w:lineRule="auto"/>
        <w:rPr>
          <w:b/>
        </w:rPr>
      </w:pPr>
      <w:r>
        <w:rPr>
          <w:b/>
        </w:rPr>
        <w:t>7.1.4 Deelvraag vier en vijf</w:t>
      </w:r>
    </w:p>
    <w:p w:rsidR="009252FE" w:rsidRDefault="009252FE" w:rsidP="00037FAE">
      <w:pPr>
        <w:spacing w:line="360" w:lineRule="auto"/>
        <w:rPr>
          <w:i/>
        </w:rPr>
      </w:pPr>
      <w:r>
        <w:t xml:space="preserve">De verschillenanalyse uit hoofdstuk </w:t>
      </w:r>
      <w:r w:rsidR="00743F37">
        <w:t>4</w:t>
      </w:r>
      <w:r>
        <w:t xml:space="preserve"> is benut om een beeld te schetsen van de gevolgen die kunnen optreden op het moment dat een onderneming overgaat op gebru</w:t>
      </w:r>
      <w:r w:rsidR="00743F37">
        <w:t xml:space="preserve">ik van IFRS SME. Deelvraag 4 </w:t>
      </w:r>
      <w:r>
        <w:t xml:space="preserve">richt zich hierop: </w:t>
      </w:r>
      <w:r>
        <w:rPr>
          <w:i/>
        </w:rPr>
        <w:t>Wat zijn de gevolgen van toepassing van IFRS SME voor de verslaggeving?</w:t>
      </w:r>
    </w:p>
    <w:p w:rsidR="00F34AFB" w:rsidRPr="00F34AFB" w:rsidRDefault="00F34AFB" w:rsidP="00037FAE">
      <w:pPr>
        <w:spacing w:line="360" w:lineRule="auto"/>
      </w:pPr>
      <w:r>
        <w:t xml:space="preserve">In hetzelfde hoofdstuk is gekeken naar de beantwoording van deelvraag </w:t>
      </w:r>
      <w:r w:rsidR="00743F37">
        <w:t>5</w:t>
      </w:r>
      <w:r>
        <w:t xml:space="preserve">: </w:t>
      </w:r>
      <w:r>
        <w:rPr>
          <w:i/>
        </w:rPr>
        <w:t xml:space="preserve">Wat zijn de voordelen en nadelen van IFRS SME? </w:t>
      </w:r>
      <w:r>
        <w:t xml:space="preserve">Wegens de nauwe verwantschap tussen deze twee deelvragen is gekozen voor een gezamenlijke beantwoording. </w:t>
      </w:r>
    </w:p>
    <w:p w:rsidR="00037FAE" w:rsidRDefault="00F34AFB" w:rsidP="00037FAE">
      <w:pPr>
        <w:spacing w:line="360" w:lineRule="auto"/>
      </w:pPr>
      <w:r>
        <w:t xml:space="preserve">Bij de analyse is </w:t>
      </w:r>
      <w:r w:rsidR="009252FE">
        <w:t>een onderscheid gemaakt tussen gevolgen voor de onderneming die haar jaarrekening opstelt conform IFRS</w:t>
      </w:r>
      <w:r>
        <w:t xml:space="preserve"> SME, waar de scriptie zich voornamelijk op richt, en effecten op gebruikers van de verslaggeving. </w:t>
      </w:r>
    </w:p>
    <w:p w:rsidR="00785EB3" w:rsidRDefault="00785EB3" w:rsidP="009252FE">
      <w:pPr>
        <w:spacing w:line="360" w:lineRule="auto"/>
      </w:pPr>
      <w:r>
        <w:t xml:space="preserve">De administratieve lasten van toepassing van IFRS SME blijken iets zwaarder te zijn dan bij Dutch GAAP, maar zijn wel aanzienlijk verlicht ten opzichte van full IFRS. Een aanzienlijk nadeel van overgang naar IFRS SME bestaat uit de verplichting vergelijkende cijfers over eerdere periodes op te stellen. Dit levert een eenmalige administratieve last op, die voor kleinere ondernemingen mogelijk lastig te verwerken kan zijn en die dus een belemmering kan vormen voor een overstap. </w:t>
      </w:r>
    </w:p>
    <w:p w:rsidR="00785EB3" w:rsidRDefault="00785EB3" w:rsidP="009252FE">
      <w:pPr>
        <w:spacing w:line="360" w:lineRule="auto"/>
      </w:pPr>
      <w:r>
        <w:t xml:space="preserve">Toepassing van IFRS SME blijkt een nadelig effect te kunnen hebben op het vermogen van een onderneming, doordat er minder waarderingsgrondslagen en verwerkingsmethodes zijn toegestaan. Voor voorbeelden van dit verschijnsel wordt verwezen naar hoofdstuk </w:t>
      </w:r>
      <w:r w:rsidR="00743F37">
        <w:t>5</w:t>
      </w:r>
      <w:r>
        <w:t xml:space="preserve">. Een lager vermogen heeft lagere financiële </w:t>
      </w:r>
      <w:proofErr w:type="spellStart"/>
      <w:r>
        <w:t>ratio’s</w:t>
      </w:r>
      <w:proofErr w:type="spellEnd"/>
      <w:r>
        <w:t xml:space="preserve"> als gevolg, waardoor ondernemingen geconfronteerd kunnen worden met duurdere financiering. </w:t>
      </w:r>
    </w:p>
    <w:p w:rsidR="00785EB3" w:rsidRDefault="00514EDD" w:rsidP="009252FE">
      <w:pPr>
        <w:spacing w:line="360" w:lineRule="auto"/>
      </w:pPr>
      <w:r>
        <w:t xml:space="preserve">De verslaggeving van </w:t>
      </w:r>
      <w:proofErr w:type="spellStart"/>
      <w:r>
        <w:t>small</w:t>
      </w:r>
      <w:proofErr w:type="spellEnd"/>
      <w:r>
        <w:t xml:space="preserve"> and </w:t>
      </w:r>
      <w:proofErr w:type="spellStart"/>
      <w:r>
        <w:t>medium-sized</w:t>
      </w:r>
      <w:proofErr w:type="spellEnd"/>
      <w:r>
        <w:t xml:space="preserve"> </w:t>
      </w:r>
      <w:proofErr w:type="spellStart"/>
      <w:r>
        <w:t>entities</w:t>
      </w:r>
      <w:proofErr w:type="spellEnd"/>
      <w:r>
        <w:t xml:space="preserve"> kan internationaal beter vergeleken worden op het moment dat IFRS SME in een groot aantal landen wordt ingevoerd en daadwerkelijk wordt toegepast. Dit brengt voor gebruikers van jaarrekeningen voordelen met zich mee, bijvoorbeeld voor investeerders die beter kunnen beoordelen of een belegging over de grens wellicht aantrekkelijker is. </w:t>
      </w:r>
      <w:r w:rsidR="00743F37">
        <w:t>O</w:t>
      </w:r>
      <w:r>
        <w:t xml:space="preserve">ok voor ondernemingen brengt dit voordelen met zich mee, een breed en internationaal aanbod van investeerders kan gepaard gaan met lagere financieringskosten. </w:t>
      </w:r>
    </w:p>
    <w:p w:rsidR="00514EDD" w:rsidRDefault="00002556" w:rsidP="009252FE">
      <w:pPr>
        <w:spacing w:line="360" w:lineRule="auto"/>
        <w:rPr>
          <w:b/>
        </w:rPr>
      </w:pPr>
      <w:r>
        <w:rPr>
          <w:b/>
        </w:rPr>
        <w:lastRenderedPageBreak/>
        <w:t>7.1.5</w:t>
      </w:r>
      <w:r w:rsidR="00514EDD">
        <w:rPr>
          <w:b/>
        </w:rPr>
        <w:t xml:space="preserve"> Deelvraag zes</w:t>
      </w:r>
    </w:p>
    <w:p w:rsidR="00514EDD" w:rsidRDefault="00B469D4" w:rsidP="009252FE">
      <w:pPr>
        <w:spacing w:line="360" w:lineRule="auto"/>
        <w:rPr>
          <w:i/>
        </w:rPr>
      </w:pPr>
      <w:r>
        <w:t xml:space="preserve">In hoofdstuk </w:t>
      </w:r>
      <w:r w:rsidR="00743F37">
        <w:t>6</w:t>
      </w:r>
      <w:r>
        <w:t xml:space="preserve"> is ter illustrati</w:t>
      </w:r>
      <w:r w:rsidR="00D43F6D">
        <w:t xml:space="preserve">e een aantal meningen over de </w:t>
      </w:r>
      <w:proofErr w:type="spellStart"/>
      <w:r w:rsidR="00D43F6D">
        <w:t>IFRS-standaard</w:t>
      </w:r>
      <w:proofErr w:type="spellEnd"/>
      <w:r w:rsidR="00D43F6D">
        <w:t xml:space="preserve"> voor </w:t>
      </w:r>
      <w:proofErr w:type="spellStart"/>
      <w:r w:rsidR="00D43F6D">
        <w:t>small</w:t>
      </w:r>
      <w:proofErr w:type="spellEnd"/>
      <w:r w:rsidR="00D43F6D">
        <w:t xml:space="preserve"> and </w:t>
      </w:r>
      <w:proofErr w:type="spellStart"/>
      <w:r w:rsidR="00D43F6D">
        <w:t>medium-sized</w:t>
      </w:r>
      <w:proofErr w:type="spellEnd"/>
      <w:r w:rsidR="00D43F6D">
        <w:t xml:space="preserve"> </w:t>
      </w:r>
      <w:proofErr w:type="spellStart"/>
      <w:r w:rsidR="00D43F6D">
        <w:t>entities</w:t>
      </w:r>
      <w:proofErr w:type="spellEnd"/>
      <w:r w:rsidR="00D43F6D">
        <w:t xml:space="preserve"> behandeld, om antwoord te</w:t>
      </w:r>
      <w:r w:rsidR="00743F37">
        <w:t xml:space="preserve"> </w:t>
      </w:r>
      <w:r w:rsidR="00D43F6D">
        <w:t>g</w:t>
      </w:r>
      <w:r w:rsidR="00743F37">
        <w:t>ev</w:t>
      </w:r>
      <w:r w:rsidR="00D43F6D">
        <w:t xml:space="preserve">en op de vraag: </w:t>
      </w:r>
      <w:r w:rsidR="00D43F6D">
        <w:rPr>
          <w:i/>
        </w:rPr>
        <w:t xml:space="preserve">Hoe kijkt de praktijk aan tegen de IFRS </w:t>
      </w:r>
      <w:proofErr w:type="spellStart"/>
      <w:r w:rsidR="00D43F6D">
        <w:rPr>
          <w:i/>
        </w:rPr>
        <w:t>SME-standaard</w:t>
      </w:r>
      <w:proofErr w:type="spellEnd"/>
      <w:r w:rsidR="00D43F6D">
        <w:rPr>
          <w:i/>
        </w:rPr>
        <w:t xml:space="preserve">? </w:t>
      </w:r>
    </w:p>
    <w:p w:rsidR="00D43F6D" w:rsidRDefault="006729C0" w:rsidP="009252FE">
      <w:pPr>
        <w:spacing w:line="360" w:lineRule="auto"/>
      </w:pPr>
      <w:r>
        <w:t>Hierbij zijn diverse categorieën aan bod geweest, onder meer accountantskantoren, opinieschrijvers en de Europese Commissie. Gezien is dat de oordelen over IFRS SME uiteenlopen van positief naar negatief, maar dat er ook bij voorstanders sprake is van kanttekeningen over bepaalde aspecten.</w:t>
      </w:r>
    </w:p>
    <w:p w:rsidR="006729C0" w:rsidRDefault="006729C0" w:rsidP="009252FE">
      <w:pPr>
        <w:spacing w:line="360" w:lineRule="auto"/>
      </w:pPr>
      <w:r>
        <w:t>Een kritiekpunt dat terugkomt</w:t>
      </w:r>
      <w:r w:rsidR="00743F37">
        <w:t>,</w:t>
      </w:r>
      <w:r>
        <w:t xml:space="preserve"> </w:t>
      </w:r>
      <w:r w:rsidR="00412113">
        <w:t>i</w:t>
      </w:r>
      <w:r>
        <w:t xml:space="preserve">s het voornemen de standaard slechts eens in de paar jaar te vernieuwen, wat een inbreuk vormt op de doeltreffendheid van de regelgeving. </w:t>
      </w:r>
      <w:r w:rsidR="00412113">
        <w:t>Dit moet echter zorgen voor stabiliteit</w:t>
      </w:r>
      <w:r w:rsidR="00743F37">
        <w:t>.</w:t>
      </w:r>
      <w:r w:rsidR="00412113">
        <w:t xml:space="preserve"> </w:t>
      </w:r>
      <w:r>
        <w:t xml:space="preserve">Ook zijn niet alle belanghebbenden overtuigd dat verslaggeving conform IFRS SME voldoet aan de specifieke wensen van de gebruikers van de jaarrekening bij kleinere ondernemingen. </w:t>
      </w:r>
      <w:r w:rsidR="00412113">
        <w:t xml:space="preserve">Extra adviserende bepalingen in de standaard zouden hier een invulling aan kunnen geven. </w:t>
      </w:r>
    </w:p>
    <w:p w:rsidR="00412113" w:rsidRDefault="00412113" w:rsidP="009252FE">
      <w:pPr>
        <w:spacing w:line="360" w:lineRule="auto"/>
      </w:pPr>
      <w:r>
        <w:t xml:space="preserve">Binnen de Europese Commissie, die een belangrijke rol kan spelen bij invoering in de Europese Unie, </w:t>
      </w:r>
      <w:r w:rsidR="00491D94">
        <w:t xml:space="preserve">heerst bezorgdheid over het effect op de fiscale systemen van een aantal landen, waaronder Duitsland en Frankrijk. De belastingheffing in deze landen is afgestemd op de lokale </w:t>
      </w:r>
      <w:proofErr w:type="spellStart"/>
      <w:r w:rsidR="00491D94">
        <w:t>verslaggevingsstandaard</w:t>
      </w:r>
      <w:proofErr w:type="spellEnd"/>
      <w:r w:rsidR="00491D94">
        <w:t xml:space="preserve">, wat de nodige aanpassingen zal vergen bij een overstap naar IFRS SME. Een compromis dat wordt overwogen is invoering van de standaard voor de geconsolideerde jaarrekening. </w:t>
      </w:r>
    </w:p>
    <w:p w:rsidR="00491D94" w:rsidRDefault="00A56622" w:rsidP="009252FE">
      <w:pPr>
        <w:spacing w:line="360" w:lineRule="auto"/>
      </w:pPr>
      <w:r>
        <w:t xml:space="preserve">Het belangrijkste voordeel van een uniform gebruik van de IFRS </w:t>
      </w:r>
      <w:proofErr w:type="spellStart"/>
      <w:r>
        <w:t>SME-standaard</w:t>
      </w:r>
      <w:proofErr w:type="spellEnd"/>
      <w:r>
        <w:t xml:space="preserve"> wordt in de s</w:t>
      </w:r>
      <w:r w:rsidR="00100E49">
        <w:t xml:space="preserve">tukken bevestigd, alle partijen erkennen dat wereldwijd gebruik van dezelfde standaard leidt tot verbeterde internationale vergelijkbaarheid. Tevens erkennen zij dat dit leidt tot eenvoudigere toegang tot de internationale kapitaalmarkten en tot lagere financieringskosten, maar betwijfeld wordt of deze voordelen ook van toepassing zijn op de kleinere ondernemingen. Het is de vraag of deze partijen behoefte hebben aan internationale financiering en of dit voor hen bereikbaar wordt. </w:t>
      </w:r>
    </w:p>
    <w:p w:rsidR="00100E49" w:rsidRDefault="00D976B6" w:rsidP="009252FE">
      <w:pPr>
        <w:spacing w:line="360" w:lineRule="auto"/>
      </w:pPr>
      <w:r>
        <w:t xml:space="preserve">Een laatste </w:t>
      </w:r>
      <w:r w:rsidR="0055073A">
        <w:t>kanttekening die</w:t>
      </w:r>
      <w:r w:rsidR="00A17145">
        <w:t xml:space="preserve"> gemaakt </w:t>
      </w:r>
      <w:r w:rsidR="0055073A">
        <w:t>is, vloeit voort uit</w:t>
      </w:r>
      <w:r w:rsidR="003F611C">
        <w:t xml:space="preserve"> mogelijke weerstand tegen een westerse standaard. Het draagvlak voor een dergelijk product zal niet in elk land even groot zijn, wat de kans op wereldwijde invoering kan beperken. Aangezien het voordeel van internationale vergelijkbaarheid groeit naarmate de verslaggeving in meer landen gebaseerd is op dezelfde standaard, zal voor een optimaal resultaat gestreefd moeten worden naar wereldwijde invoer. Eventuele weerstand tegen de standaard zal dan ook moeten worden overwonnen. </w:t>
      </w:r>
    </w:p>
    <w:p w:rsidR="003F611C" w:rsidRPr="009A0204" w:rsidRDefault="003F611C" w:rsidP="009A0204">
      <w:pPr>
        <w:pStyle w:val="Kop3"/>
        <w:rPr>
          <w:color w:val="auto"/>
        </w:rPr>
      </w:pPr>
      <w:bookmarkStart w:id="44" w:name="_Toc299913183"/>
      <w:r w:rsidRPr="009A0204">
        <w:rPr>
          <w:color w:val="auto"/>
        </w:rPr>
        <w:lastRenderedPageBreak/>
        <w:t>7.2 Conclusie</w:t>
      </w:r>
      <w:r w:rsidR="009A0204" w:rsidRPr="009A0204">
        <w:rPr>
          <w:color w:val="auto"/>
        </w:rPr>
        <w:t>s</w:t>
      </w:r>
      <w:bookmarkEnd w:id="44"/>
    </w:p>
    <w:p w:rsidR="003F611C" w:rsidRDefault="00EA650D" w:rsidP="009252FE">
      <w:pPr>
        <w:spacing w:line="360" w:lineRule="auto"/>
        <w:rPr>
          <w:i/>
        </w:rPr>
      </w:pPr>
      <w:r>
        <w:t xml:space="preserve">De informatie die in het voorgaande deel is gepresenteerd, wordt in deze laatste paragraaf benut om een antwoord te geven op de centrale probleemstelling. Deze centrale probleemstelling luidt als volgt: </w:t>
      </w:r>
      <w:r w:rsidR="0047336D">
        <w:rPr>
          <w:i/>
        </w:rPr>
        <w:t>Wat voor invloed heeft IFRS SME op de ondernemingen uit de doelgroep?</w:t>
      </w:r>
    </w:p>
    <w:p w:rsidR="007729D8" w:rsidRDefault="007729D8" w:rsidP="009252FE">
      <w:pPr>
        <w:spacing w:line="360" w:lineRule="auto"/>
      </w:pPr>
      <w:r>
        <w:t xml:space="preserve">De doelgroep is nader omschreven bij de beantwoording van deelvraag </w:t>
      </w:r>
      <w:r w:rsidR="00DC42AE">
        <w:t>1</w:t>
      </w:r>
      <w:r>
        <w:t xml:space="preserve">, als zijnde ondernemingen zonder public </w:t>
      </w:r>
      <w:proofErr w:type="spellStart"/>
      <w:r>
        <w:t>accountability</w:t>
      </w:r>
      <w:proofErr w:type="spellEnd"/>
      <w:r>
        <w:t xml:space="preserve"> die wel jaarrekeningen publiceren voor externe gebruikers. Hiermee zijn beursgenoteerde ondernemingen en grote financiële instellingen nadrukkelijk uitgesloten van toepassing van IFRS SME</w:t>
      </w:r>
      <w:r w:rsidR="00BE4523">
        <w:t>;</w:t>
      </w:r>
      <w:r>
        <w:t xml:space="preserve"> op hen heeft de standaard dus geen direct effect. </w:t>
      </w:r>
    </w:p>
    <w:p w:rsidR="007729D8" w:rsidRDefault="00DD7ACF" w:rsidP="009252FE">
      <w:pPr>
        <w:spacing w:line="360" w:lineRule="auto"/>
      </w:pPr>
      <w:r>
        <w:t xml:space="preserve">Het antwoord op deelvraag </w:t>
      </w:r>
      <w:r w:rsidR="00DC42AE">
        <w:t>2</w:t>
      </w:r>
      <w:r>
        <w:t xml:space="preserve"> heeft getoond dat het belangrijkste effect dat de IASB voor ogen had bij creatie van de standaard bestond uit verbeterde internationale vergelijkbaarheid van verslaggeving door ondernemingen uit de doelgroep. Dit zou voor ondernemingen voordelen moeten opleveren bij de toegang tot wereldwijde kapitaalmarkten</w:t>
      </w:r>
    </w:p>
    <w:p w:rsidR="00454A11" w:rsidRDefault="007729D8" w:rsidP="009252FE">
      <w:pPr>
        <w:spacing w:line="360" w:lineRule="auto"/>
      </w:pPr>
      <w:r>
        <w:t xml:space="preserve">Bij de verschillenanalyse van deelvraag </w:t>
      </w:r>
      <w:r w:rsidR="00DC42AE">
        <w:t>3</w:t>
      </w:r>
      <w:r>
        <w:t xml:space="preserve">, waarbij de standaard is vergeleken met Dutch GAAP en met full IFRS, is al gezien dat er minder verwerkingsmethodes en waarderingsgrondslagen zijn toegestaan. </w:t>
      </w:r>
      <w:r w:rsidR="00454A11">
        <w:t xml:space="preserve">Ook worden er minder eisen gesteld aan de rapportage van een aantal </w:t>
      </w:r>
      <w:r w:rsidR="00BE4523">
        <w:t>balans</w:t>
      </w:r>
      <w:r w:rsidR="00454A11">
        <w:t>posten. Dit betekent een vereenvoudiging voor ondernemingen, die minder informatie in de jaarrekening op hoeven te nemen. Het feit dat er minder methodes zijn toegestaan</w:t>
      </w:r>
      <w:r w:rsidR="00DC42AE">
        <w:t>,</w:t>
      </w:r>
      <w:r w:rsidR="00454A11">
        <w:t xml:space="preserve"> kan ook een nadelig effect opleveren, zo blijkt uit de beantwoording van</w:t>
      </w:r>
      <w:r w:rsidR="00196451">
        <w:t xml:space="preserve"> de vierde en vijfde deelvraag.</w:t>
      </w:r>
    </w:p>
    <w:p w:rsidR="00454A11" w:rsidRDefault="00196451" w:rsidP="009252FE">
      <w:pPr>
        <w:spacing w:line="360" w:lineRule="auto"/>
      </w:pPr>
      <w:r>
        <w:t xml:space="preserve">Bepaalde methodes, zoals waardering tegen fair </w:t>
      </w:r>
      <w:proofErr w:type="spellStart"/>
      <w:r>
        <w:t>value</w:t>
      </w:r>
      <w:proofErr w:type="spellEnd"/>
      <w:r>
        <w:t xml:space="preserve">, zijn onder IFRS SME niet voor elke post toegestaan. Voor ondernemingen kan dit een negatief effect op het gerapporteerde eigen vermogen hebben, zoals is aangetoond in hoofdstuk </w:t>
      </w:r>
      <w:r w:rsidR="00DC42AE">
        <w:t>4</w:t>
      </w:r>
      <w:r>
        <w:t xml:space="preserve">. Een lager vermogen is een nadeel voor de onderneming, onder meer door het negatieve effect op financiële </w:t>
      </w:r>
      <w:proofErr w:type="spellStart"/>
      <w:r>
        <w:t>ratio’s</w:t>
      </w:r>
      <w:proofErr w:type="spellEnd"/>
      <w:r>
        <w:t xml:space="preserve"> wat leidt tot hogere financieringskosten. </w:t>
      </w:r>
    </w:p>
    <w:p w:rsidR="00454A11" w:rsidRPr="0047336D" w:rsidRDefault="00196451" w:rsidP="009252FE">
      <w:pPr>
        <w:spacing w:line="360" w:lineRule="auto"/>
      </w:pPr>
      <w:r>
        <w:t xml:space="preserve">Ten opzichte van Dutch GAAP blijken de administratieve lasten iets zwaarder te zijn, maar dit zou geen noemenswaardig effect moeten hebben op ondernemingen. Slechts de verplichting om vergelijkende cijfers over voorgaande periodes weer te geven kan een groot nadeel zijn, met name voor kleinere ondernemingen met een beperkte administratieve afdeling. </w:t>
      </w:r>
    </w:p>
    <w:p w:rsidR="009A0204" w:rsidRDefault="00196451" w:rsidP="00445E98">
      <w:pPr>
        <w:spacing w:line="360" w:lineRule="auto"/>
      </w:pPr>
      <w:r>
        <w:t xml:space="preserve">Uit het onderzoek is gebleken dat de verslaggeving van </w:t>
      </w:r>
      <w:proofErr w:type="spellStart"/>
      <w:r>
        <w:t>small</w:t>
      </w:r>
      <w:proofErr w:type="spellEnd"/>
      <w:r>
        <w:t xml:space="preserve"> and </w:t>
      </w:r>
      <w:proofErr w:type="spellStart"/>
      <w:r>
        <w:t>medium-sized</w:t>
      </w:r>
      <w:proofErr w:type="spellEnd"/>
      <w:r>
        <w:t xml:space="preserve"> </w:t>
      </w:r>
      <w:proofErr w:type="spellStart"/>
      <w:r>
        <w:t>entities</w:t>
      </w:r>
      <w:proofErr w:type="spellEnd"/>
      <w:r>
        <w:t xml:space="preserve"> internationaal beter vergeleken kan worden bij wijdverbreide toepassing van IFRS SME. Dit heeft een positief effect op ondernemingen die in staat zijn </w:t>
      </w:r>
      <w:r w:rsidR="00781148">
        <w:t xml:space="preserve">hun financiële cijfers onder de aandacht te brengen van buitenlandse investeerders. </w:t>
      </w:r>
    </w:p>
    <w:p w:rsidR="00445E98" w:rsidRDefault="00781148" w:rsidP="00445E98">
      <w:pPr>
        <w:spacing w:line="360" w:lineRule="auto"/>
      </w:pPr>
      <w:r>
        <w:lastRenderedPageBreak/>
        <w:t xml:space="preserve">Doordat deze investeerders de verslaggeving eenvoudig kunnen vergelijken met ondernemingen uit eigen land, kan hun aandacht gevestigd worden op buitenlandse ondernemingen. Het potentiële aanbod van investeerders stijgt hierdoor, wat leidt tot lagere financieringskosten. Dit is uiteraard een voordeel voor ondernemingen, maar hiervoor is wel vereist dat IFRS SME daadwerkelijk in een groot aantal landen wordt toegepast. </w:t>
      </w:r>
      <w:r w:rsidR="00445E98">
        <w:t xml:space="preserve">Ook voor kleinere ondernemingen zou dit voordeel beperkt zijn, het ligt niet voor de hand dat deze categorie de internationale kapitaalmarkten betreedt voor haar financiering. </w:t>
      </w:r>
    </w:p>
    <w:p w:rsidR="00445E98" w:rsidRDefault="00781148" w:rsidP="00781148">
      <w:pPr>
        <w:spacing w:line="360" w:lineRule="auto"/>
      </w:pPr>
      <w:r>
        <w:t xml:space="preserve">Dit wordt bevestigd in hoofdstuk </w:t>
      </w:r>
      <w:r w:rsidR="00DC42AE">
        <w:t>6,</w:t>
      </w:r>
      <w:r>
        <w:t xml:space="preserve"> waar de mening van een aantal belanghebbenden wordt weergegeven. Wereldwijde toepassing van IFRS SME is niet gegarandeerd, zo zijn niet alle Europese landen overtuigd van </w:t>
      </w:r>
      <w:r w:rsidR="00260B7C">
        <w:t xml:space="preserve">het belang van de standaard. </w:t>
      </w:r>
      <w:r w:rsidR="00445E98">
        <w:t>Dit is in meer landen het geval en o</w:t>
      </w:r>
      <w:r w:rsidR="00260B7C">
        <w:t>ok de Europese Commissie is nog niet overstag</w:t>
      </w:r>
      <w:r w:rsidR="00445E98">
        <w:t>.</w:t>
      </w:r>
    </w:p>
    <w:p w:rsidR="007B2A8B" w:rsidRDefault="00186E26" w:rsidP="00781148">
      <w:pPr>
        <w:spacing w:line="360" w:lineRule="auto"/>
      </w:pPr>
      <w:r>
        <w:t xml:space="preserve">Het antwoord op de vraag naar de invloed die IFRS SME op de ondernemingen uit de doelgroep heeft, hangt dus af van een aantal omstandigheden. </w:t>
      </w:r>
    </w:p>
    <w:p w:rsidR="007B2A8B" w:rsidRDefault="00186E26" w:rsidP="00781148">
      <w:pPr>
        <w:spacing w:line="360" w:lineRule="auto"/>
      </w:pPr>
      <w:r>
        <w:t xml:space="preserve">Op het moment dat een beperkt aantal landen de standaard invoert, waaronder het land waarin de onderneming rapporteert, zal er sprake zijn van een mogelijk negatief effect op het vermogen op de balans en de eenmalige administratieve verplichting om vergelijkende cijfers op te stellen over voorgaande periodes. </w:t>
      </w:r>
      <w:r w:rsidR="007B2A8B">
        <w:t xml:space="preserve">Een lager gerapporteerd vermogen kan vervolgens leiden tot hogere  financieringskosten. </w:t>
      </w:r>
    </w:p>
    <w:p w:rsidR="00DC42AE" w:rsidRDefault="00186E26" w:rsidP="00DC42AE">
      <w:pPr>
        <w:spacing w:after="0" w:line="360" w:lineRule="auto"/>
      </w:pPr>
      <w:r>
        <w:t xml:space="preserve">Als de standaard in meer landen, bijvoorbeeld in de gehele Europese Unie, wordt ingevoerd, zijn er ook voordelen voor de ondernemingen. </w:t>
      </w:r>
      <w:r w:rsidR="007B2A8B">
        <w:t xml:space="preserve">De internationale vergelijkbaarheid die op een hoger niveau komt zal het voor investeerders aantrekkelijker maken om in ondernemingen uit andere landen te beleggen. Het toenemende aanbod van investeerders kan de financieringskosten van ondernemingen dempen. </w:t>
      </w:r>
    </w:p>
    <w:p w:rsidR="007B2A8B" w:rsidRDefault="007B2A8B" w:rsidP="00781148">
      <w:pPr>
        <w:spacing w:line="360" w:lineRule="auto"/>
      </w:pPr>
      <w:r>
        <w:t xml:space="preserve">Kanttekening bij dit geschetste voordeel is, dat het met name op zal treden bij de ondernemingen van gemiddelde grootte. Voor kleine ondernemingen zal het waarschijnlijk niet rendabel zijn zich op de internationale kapitaalmarkten te begeven. </w:t>
      </w:r>
    </w:p>
    <w:p w:rsidR="009A0204" w:rsidRDefault="00AF5873" w:rsidP="00781148">
      <w:pPr>
        <w:spacing w:line="360" w:lineRule="auto"/>
      </w:pPr>
      <w:r>
        <w:t xml:space="preserve">Van belang voor het bepalen van de invloed van de standaard is </w:t>
      </w:r>
      <w:r w:rsidR="007B2A8B">
        <w:t xml:space="preserve">het ook van belang of de standaard na eventuele invoering een verplichtend of een vrijblijvend karakter zal hebben. Op het moment dat toepassing mogelijk is naast de nationale standaarden, zullen veel kleinere ondernemingen de overstap waarschijnlijk niet maken. De geschetste voordelen die voortvloeien uit een hogere internationale vergelijkbaarheid spelen voor hen immers geen grote rol en zullen niet opwegen tegen de administratieve lasten. </w:t>
      </w:r>
    </w:p>
    <w:p w:rsidR="007B2A8B" w:rsidRDefault="007B2A8B" w:rsidP="00781148">
      <w:pPr>
        <w:spacing w:line="360" w:lineRule="auto"/>
      </w:pPr>
      <w:r>
        <w:lastRenderedPageBreak/>
        <w:t xml:space="preserve">Dit heeft weer tot gevolg dat de middelgrote ondernemingen ook minder belang hebben bij toepassing van IFRS SME, omdat hun cijfers minder eenvoudig </w:t>
      </w:r>
      <w:r w:rsidR="00AF5873">
        <w:t xml:space="preserve">vergeleken kunnen worden </w:t>
      </w:r>
      <w:r>
        <w:t xml:space="preserve">met de kleinere ondernemingen uit eigen land. </w:t>
      </w:r>
      <w:r w:rsidR="00AF5873">
        <w:t xml:space="preserve">Verplichte toepassing </w:t>
      </w:r>
      <w:r w:rsidR="00AE2B9E">
        <w:t xml:space="preserve">betekent </w:t>
      </w:r>
      <w:r w:rsidR="00AF5873">
        <w:t xml:space="preserve">voor de kleinere ondernemingen echter zwaardere administratieve lasten, zonder dat zij er werkelijk belang bij hebben. Dit is een belangenafweging die gemaakt moet worden door de autoriteiten, waarbij ook aandacht geschonken zal worden aan de belangen van andere gebruikers. </w:t>
      </w:r>
    </w:p>
    <w:p w:rsidR="00590856" w:rsidRPr="009A0204" w:rsidRDefault="00590856" w:rsidP="009A0204">
      <w:pPr>
        <w:pStyle w:val="Kop3"/>
        <w:rPr>
          <w:color w:val="auto"/>
        </w:rPr>
      </w:pPr>
      <w:bookmarkStart w:id="45" w:name="_Toc299913184"/>
      <w:r w:rsidRPr="009A0204">
        <w:rPr>
          <w:color w:val="auto"/>
        </w:rPr>
        <w:t>7.3 Aanbevelingen</w:t>
      </w:r>
      <w:bookmarkEnd w:id="45"/>
    </w:p>
    <w:p w:rsidR="00590856" w:rsidRDefault="00AF5873" w:rsidP="00781148">
      <w:pPr>
        <w:spacing w:line="360" w:lineRule="auto"/>
      </w:pPr>
      <w:r>
        <w:t>Er is op dit moment dus geen eenduidig antwoord te geven op de centrale probleemstelling. Een internationaal, cijfermatig onderzoek kan een beter inzicht geven in de te verwachte</w:t>
      </w:r>
      <w:r w:rsidR="00AE2B9E">
        <w:t>n</w:t>
      </w:r>
      <w:r>
        <w:t xml:space="preserve"> voor- en nadelen na invoering. Hierbij zal onder andere aandacht nodig zijn voor de kansen op invoering en de het belang van internationale vergelijkbaarheid voor de kleine ondernemingen. </w:t>
      </w:r>
      <w:r w:rsidR="00590856">
        <w:t xml:space="preserve">Een dergelijk onderzoek is echter lastig uit te voeren, aangezien de uitkomsten afhankelijk zijn van aannames over de houding van investeerders en van ondernemingen op de internationale kapitaalmarkten. </w:t>
      </w:r>
    </w:p>
    <w:p w:rsidR="00AF5873" w:rsidRDefault="00AF5873" w:rsidP="00781148">
      <w:pPr>
        <w:spacing w:line="360" w:lineRule="auto"/>
      </w:pPr>
      <w:r>
        <w:t xml:space="preserve">Tevens zal onderzocht moeten worden </w:t>
      </w:r>
      <w:r w:rsidR="00590856">
        <w:t xml:space="preserve">of vrijwillige toepassing het gewenste resultaat oplevert, waarbij met name van belang is of dit leidt tot voldoende verbetering in de internationale vergelijkbaarheid. De kans is </w:t>
      </w:r>
      <w:r w:rsidR="00D24D83">
        <w:t xml:space="preserve">aanwezig </w:t>
      </w:r>
      <w:r w:rsidR="00590856">
        <w:t>dat ondernemingen in dit geval de overstap van nationale regelgeving niet zullen maken, doordat de aanvankelijke administratieve lasten zwaar kunnen wegen. Op het moment dat dit effect overheerst, terwijl duidelijk is dat de overstap op lange termijn voordelen met zich meebrengt, moeten de autoriteiten wellicht gebruik maken van hun bevoegdheden toepassing verplicht te stellen. Zij dienen immers ook belangen van andere partijen te waarborgen en aandacht te geven aan het maatschappelijk</w:t>
      </w:r>
      <w:r w:rsidR="00AE2B9E">
        <w:t>e</w:t>
      </w:r>
      <w:r w:rsidR="00590856">
        <w:t xml:space="preserve"> belang.</w:t>
      </w:r>
    </w:p>
    <w:p w:rsidR="00D24D83" w:rsidRDefault="00590856" w:rsidP="00781148">
      <w:pPr>
        <w:spacing w:line="360" w:lineRule="auto"/>
      </w:pPr>
      <w:r>
        <w:t>Allereerst moet echter cijfermatig onderzocht worden of dit maatschappelijk</w:t>
      </w:r>
      <w:r w:rsidR="00AE2B9E">
        <w:t>e</w:t>
      </w:r>
      <w:r>
        <w:t xml:space="preserve"> belang inderdaad gediend is met invoering van IFRS SME, of </w:t>
      </w:r>
      <w:r w:rsidR="00D24D83">
        <w:t xml:space="preserve">de belasting voor kleine ondernemingen niet te groot is ten opzichte van de verwachte voordelen en of er </w:t>
      </w:r>
      <w:r w:rsidR="00AE2B9E">
        <w:t>voldoende</w:t>
      </w:r>
      <w:r w:rsidR="00D24D83">
        <w:t xml:space="preserve"> internationaal draagvlak is. </w:t>
      </w:r>
    </w:p>
    <w:p w:rsidR="00267100" w:rsidRDefault="00D24D83" w:rsidP="00D24D83">
      <w:pPr>
        <w:spacing w:line="360" w:lineRule="auto"/>
      </w:pPr>
      <w:r>
        <w:t xml:space="preserve">Wellicht is een proefperiode een mogelijkheid, waarbij een aantal ondernemingen uit diverse landen met steun van de overheden de jaarrekening conform IFRS SME opstelt. In het ideale geval zijn dit vergelijkbare ondernemingen, waarna het effect op investeerders bekeken kan worden. Zo kan er op relatief kleine schaal een inschatting gemaakt worden van het belang van internationale vergelijkbaarheid op de bereidheid van investeerders om kleine en middelgrote ondernemingen uit het buitenland te financieren. Voor een dergelijk onderzoek is echter wel internationale coördinatie </w:t>
      </w:r>
      <w:r w:rsidR="00AE2B9E">
        <w:t>noodzakelijk</w:t>
      </w:r>
      <w:r>
        <w:t>, wat het ingewikkeld maakt om uit te voeren. Hier is wellicht een taak weggelegd voor de Europese Commissie, aangezien zij het netw</w:t>
      </w:r>
      <w:r w:rsidR="00AE2B9E">
        <w:t xml:space="preserve">erk heeft </w:t>
      </w:r>
      <w:r>
        <w:t xml:space="preserve">internationale coördinatie op gang te brengen. </w:t>
      </w:r>
    </w:p>
    <w:p w:rsidR="00B33389" w:rsidRPr="004126BC" w:rsidRDefault="00B33389" w:rsidP="004126BC">
      <w:pPr>
        <w:pStyle w:val="Kop2"/>
        <w:rPr>
          <w:color w:val="auto"/>
        </w:rPr>
      </w:pPr>
      <w:bookmarkStart w:id="46" w:name="_Toc299913185"/>
      <w:r w:rsidRPr="004126BC">
        <w:rPr>
          <w:color w:val="auto"/>
        </w:rPr>
        <w:lastRenderedPageBreak/>
        <w:t>Literatuuropgave</w:t>
      </w:r>
      <w:bookmarkEnd w:id="46"/>
      <w:r w:rsidRPr="004126BC">
        <w:rPr>
          <w:color w:val="auto"/>
        </w:rPr>
        <w:t xml:space="preserve"> </w:t>
      </w:r>
    </w:p>
    <w:p w:rsidR="00B33389" w:rsidRPr="004A58BF" w:rsidRDefault="00B33389" w:rsidP="00B33389">
      <w:pPr>
        <w:rPr>
          <w:b/>
        </w:rPr>
      </w:pPr>
      <w:r>
        <w:rPr>
          <w:b/>
        </w:rPr>
        <w:t>Literatuur</w:t>
      </w:r>
    </w:p>
    <w:p w:rsidR="00B33389" w:rsidRPr="00F11AA7" w:rsidRDefault="00B33389" w:rsidP="00B33389">
      <w:proofErr w:type="spellStart"/>
      <w:r w:rsidRPr="00061075">
        <w:t>Achaibersing</w:t>
      </w:r>
      <w:proofErr w:type="spellEnd"/>
      <w:r w:rsidRPr="00061075">
        <w:t xml:space="preserve">, R.D. en C. </w:t>
      </w:r>
      <w:proofErr w:type="spellStart"/>
      <w:r>
        <w:t>Esseboom</w:t>
      </w:r>
      <w:proofErr w:type="spellEnd"/>
      <w:r>
        <w:t xml:space="preserve">. “Financiële informatie en compatibiliteit”. </w:t>
      </w:r>
      <w:r w:rsidRPr="00F11AA7">
        <w:t>Rotterdam. 2010.</w:t>
      </w:r>
    </w:p>
    <w:p w:rsidR="00B33389" w:rsidRPr="00151B0E" w:rsidRDefault="00B33389" w:rsidP="00B33389">
      <w:r w:rsidRPr="00F11AA7">
        <w:t xml:space="preserve">BDO. “IFRS </w:t>
      </w:r>
      <w:proofErr w:type="spellStart"/>
      <w:r w:rsidRPr="00F11AA7">
        <w:t>for</w:t>
      </w:r>
      <w:proofErr w:type="spellEnd"/>
      <w:r w:rsidRPr="00F11AA7">
        <w:t xml:space="preserve"> SME. </w:t>
      </w:r>
      <w:r w:rsidRPr="00D04B13">
        <w:t xml:space="preserve">De </w:t>
      </w:r>
      <w:proofErr w:type="spellStart"/>
      <w:r w:rsidRPr="00D04B13">
        <w:t>mkb-versie</w:t>
      </w:r>
      <w:proofErr w:type="spellEnd"/>
      <w:r w:rsidRPr="00D04B13">
        <w:t xml:space="preserve"> van IFRS</w:t>
      </w:r>
      <w:r>
        <w:t xml:space="preserve"> </w:t>
      </w:r>
      <w:r w:rsidRPr="00D04B13">
        <w:t>vergeleken met</w:t>
      </w:r>
      <w:r>
        <w:t xml:space="preserve"> </w:t>
      </w:r>
      <w:r w:rsidRPr="00D04B13">
        <w:t>Nederlandse jaarrekeningregels</w:t>
      </w:r>
      <w:r>
        <w:t xml:space="preserve">”. </w:t>
      </w:r>
      <w:r w:rsidRPr="00151B0E">
        <w:t>2009.</w:t>
      </w:r>
    </w:p>
    <w:p w:rsidR="00B33389" w:rsidRPr="002E758B" w:rsidRDefault="00B33389" w:rsidP="00B33389">
      <w:pPr>
        <w:rPr>
          <w:lang w:val="en-US"/>
        </w:rPr>
      </w:pPr>
      <w:proofErr w:type="spellStart"/>
      <w:r>
        <w:t>Böhmer</w:t>
      </w:r>
      <w:proofErr w:type="spellEnd"/>
      <w:r>
        <w:t xml:space="preserve">, S., M.N. </w:t>
      </w:r>
      <w:proofErr w:type="spellStart"/>
      <w:r>
        <w:t>Hoogendoorn</w:t>
      </w:r>
      <w:proofErr w:type="spellEnd"/>
      <w:r>
        <w:t xml:space="preserve">, en F. </w:t>
      </w:r>
      <w:proofErr w:type="spellStart"/>
      <w:r>
        <w:t>Krens</w:t>
      </w:r>
      <w:proofErr w:type="spellEnd"/>
      <w:r>
        <w:t xml:space="preserve">. </w:t>
      </w:r>
      <w:r w:rsidRPr="00B33389">
        <w:t>“</w:t>
      </w:r>
      <w:r w:rsidRPr="00B33389">
        <w:rPr>
          <w:i/>
        </w:rPr>
        <w:t xml:space="preserve">Ernst &amp; Young Handboek Jaarrekening 2010. </w:t>
      </w:r>
      <w:r w:rsidRPr="002E758B">
        <w:rPr>
          <w:lang w:val="en-US"/>
        </w:rPr>
        <w:t>2010.</w:t>
      </w:r>
    </w:p>
    <w:p w:rsidR="00B33389" w:rsidRPr="00B33389" w:rsidRDefault="00B33389" w:rsidP="00B33389">
      <w:proofErr w:type="spellStart"/>
      <w:r w:rsidRPr="00061075">
        <w:rPr>
          <w:lang w:val="en-US"/>
        </w:rPr>
        <w:t>Choi</w:t>
      </w:r>
      <w:proofErr w:type="spellEnd"/>
      <w:r w:rsidRPr="00061075">
        <w:rPr>
          <w:lang w:val="en-US"/>
        </w:rPr>
        <w:t>, F.D.S. “International f</w:t>
      </w:r>
      <w:r>
        <w:rPr>
          <w:lang w:val="en-US"/>
        </w:rPr>
        <w:t xml:space="preserve">inance and accounting handbook”. Hoboken, New Jersey. </w:t>
      </w:r>
      <w:r w:rsidRPr="00B33389">
        <w:t xml:space="preserve">2003. </w:t>
      </w:r>
    </w:p>
    <w:p w:rsidR="00B33389" w:rsidRPr="00B33389" w:rsidRDefault="00B33389" w:rsidP="00B33389">
      <w:r>
        <w:t xml:space="preserve">Ende, H. van den. </w:t>
      </w:r>
      <w:r w:rsidRPr="00F11AA7">
        <w:t xml:space="preserve">“Eén standaard voor verslaggeving?”. </w:t>
      </w:r>
      <w:r w:rsidRPr="00B33389">
        <w:t>PwC Spotlight, 2011.</w:t>
      </w:r>
    </w:p>
    <w:p w:rsidR="009A0204" w:rsidRDefault="009A0204" w:rsidP="00B33389">
      <w:pPr>
        <w:rPr>
          <w:lang w:val="en-US"/>
        </w:rPr>
      </w:pPr>
      <w:r>
        <w:rPr>
          <w:lang w:val="en-US"/>
        </w:rPr>
        <w:t>Ernst &amp; Young LLP. “IFRS for small and medium-sized Entities, a comparison with IFRS”. 2010.</w:t>
      </w:r>
    </w:p>
    <w:p w:rsidR="00B33389" w:rsidRDefault="00B33389" w:rsidP="00B33389">
      <w:pPr>
        <w:rPr>
          <w:lang w:val="en-US"/>
        </w:rPr>
      </w:pPr>
      <w:r w:rsidRPr="00F11AA7">
        <w:rPr>
          <w:lang w:val="en-US"/>
        </w:rPr>
        <w:t xml:space="preserve">Ernst &amp; Young LLP. </w:t>
      </w:r>
      <w:r>
        <w:rPr>
          <w:lang w:val="en-US"/>
        </w:rPr>
        <w:t>“Talking SMEs”. 2009.</w:t>
      </w:r>
    </w:p>
    <w:p w:rsidR="009A0204" w:rsidRPr="009A0204" w:rsidRDefault="009A0204" w:rsidP="00B33389">
      <w:r w:rsidRPr="009A0204">
        <w:t>Ernst &amp; Young LLP. “Vergelijking IFR</w:t>
      </w:r>
      <w:r>
        <w:t>S voor niet-beursgenoteerde ondernemingen met Nederlandse wet- en regelgeving”. 2009.</w:t>
      </w:r>
    </w:p>
    <w:p w:rsidR="00B33389" w:rsidRDefault="00B33389" w:rsidP="00B33389">
      <w:pPr>
        <w:rPr>
          <w:lang w:val="en-US"/>
        </w:rPr>
      </w:pPr>
      <w:proofErr w:type="spellStart"/>
      <w:r w:rsidRPr="009A0204">
        <w:t>European</w:t>
      </w:r>
      <w:proofErr w:type="spellEnd"/>
      <w:r w:rsidRPr="009A0204">
        <w:t xml:space="preserve"> </w:t>
      </w:r>
      <w:proofErr w:type="spellStart"/>
      <w:r w:rsidRPr="009A0204">
        <w:t>Commission</w:t>
      </w:r>
      <w:proofErr w:type="spellEnd"/>
      <w:r w:rsidRPr="009A0204">
        <w:t xml:space="preserve">. </w:t>
      </w:r>
      <w:r>
        <w:rPr>
          <w:lang w:val="en-US"/>
        </w:rPr>
        <w:t>“Summary report of responses received to the Commission’s consultation on the IFRS for SMEs”. 2010.</w:t>
      </w:r>
    </w:p>
    <w:p w:rsidR="00B33389" w:rsidRPr="00F11AA7" w:rsidRDefault="00B33389" w:rsidP="00B33389">
      <w:pPr>
        <w:rPr>
          <w:lang w:val="en-US"/>
        </w:rPr>
      </w:pPr>
      <w:proofErr w:type="spellStart"/>
      <w:r w:rsidRPr="00F11AA7">
        <w:rPr>
          <w:lang w:val="en-US"/>
        </w:rPr>
        <w:t>Goossens</w:t>
      </w:r>
      <w:proofErr w:type="spellEnd"/>
      <w:r w:rsidRPr="00F11AA7">
        <w:rPr>
          <w:lang w:val="en-US"/>
        </w:rPr>
        <w:t xml:space="preserve">, T. “IFRS SME, </w:t>
      </w:r>
      <w:proofErr w:type="spellStart"/>
      <w:r w:rsidRPr="00F11AA7">
        <w:rPr>
          <w:lang w:val="en-US"/>
        </w:rPr>
        <w:t>nou</w:t>
      </w:r>
      <w:proofErr w:type="spellEnd"/>
      <w:r w:rsidRPr="00F11AA7">
        <w:rPr>
          <w:lang w:val="en-US"/>
        </w:rPr>
        <w:t xml:space="preserve"> nee”. Accountant.nl, 2011.</w:t>
      </w:r>
    </w:p>
    <w:p w:rsidR="00B33389" w:rsidRDefault="00B33389" w:rsidP="00B33389">
      <w:pPr>
        <w:rPr>
          <w:lang w:val="en-US"/>
        </w:rPr>
      </w:pPr>
      <w:r>
        <w:rPr>
          <w:lang w:val="en-US"/>
        </w:rPr>
        <w:t xml:space="preserve">International Accounting Standards Board. “Discussion Paper: </w:t>
      </w:r>
      <w:r w:rsidRPr="00811883">
        <w:rPr>
          <w:lang w:val="en-US"/>
        </w:rPr>
        <w:t>Preliminary Views on Accounting Standards</w:t>
      </w:r>
      <w:r>
        <w:rPr>
          <w:lang w:val="en-US"/>
        </w:rPr>
        <w:t xml:space="preserve"> </w:t>
      </w:r>
      <w:r w:rsidRPr="00811883">
        <w:rPr>
          <w:lang w:val="en-US"/>
        </w:rPr>
        <w:t>for Small and Medium-sized Entities</w:t>
      </w:r>
      <w:r>
        <w:rPr>
          <w:lang w:val="en-US"/>
        </w:rPr>
        <w:t>”. 2004.</w:t>
      </w:r>
    </w:p>
    <w:p w:rsidR="00B33389" w:rsidRPr="00B33389" w:rsidRDefault="00B33389" w:rsidP="00B33389">
      <w:pPr>
        <w:rPr>
          <w:lang w:val="en-US"/>
        </w:rPr>
      </w:pPr>
      <w:r>
        <w:rPr>
          <w:lang w:val="en-US"/>
        </w:rPr>
        <w:t xml:space="preserve">International Accounting Standards Board. “Exposure Draft of a Proposed IFRS for Small and Medium-sized Entities. </w:t>
      </w:r>
      <w:r w:rsidRPr="00B33389">
        <w:rPr>
          <w:lang w:val="en-US"/>
        </w:rPr>
        <w:t xml:space="preserve">2007. </w:t>
      </w:r>
    </w:p>
    <w:p w:rsidR="00B33389" w:rsidRPr="006E07F1" w:rsidRDefault="00B33389" w:rsidP="00B33389">
      <w:pPr>
        <w:rPr>
          <w:lang w:val="en-US"/>
        </w:rPr>
      </w:pPr>
      <w:r>
        <w:rPr>
          <w:lang w:val="en-US"/>
        </w:rPr>
        <w:t>International Accounting Standards Board. “IFRS for SMEs Project Report”. 2009.</w:t>
      </w:r>
    </w:p>
    <w:p w:rsidR="00B33389" w:rsidRPr="00561270" w:rsidRDefault="00B33389" w:rsidP="00B33389">
      <w:r>
        <w:rPr>
          <w:lang w:val="en-US"/>
        </w:rPr>
        <w:t>International Accounting Standards Board. “</w:t>
      </w:r>
      <w:r w:rsidRPr="002E758B">
        <w:rPr>
          <w:lang w:val="en-US"/>
        </w:rPr>
        <w:t>International Financial Reporting Standard for Small and Medium-sized Entities - Basis for Conclusions</w:t>
      </w:r>
      <w:r>
        <w:rPr>
          <w:lang w:val="en-US"/>
        </w:rPr>
        <w:t>”</w:t>
      </w:r>
      <w:r w:rsidRPr="002E758B">
        <w:rPr>
          <w:lang w:val="en-US"/>
        </w:rPr>
        <w:t xml:space="preserve">. </w:t>
      </w:r>
      <w:r w:rsidRPr="00561270">
        <w:t xml:space="preserve">2009. </w:t>
      </w:r>
    </w:p>
    <w:p w:rsidR="00B33389" w:rsidRPr="006E07F1" w:rsidRDefault="00B33389" w:rsidP="00B33389">
      <w:pPr>
        <w:rPr>
          <w:lang w:val="en-US"/>
        </w:rPr>
      </w:pPr>
      <w:proofErr w:type="spellStart"/>
      <w:r>
        <w:t>Kimpe</w:t>
      </w:r>
      <w:proofErr w:type="spellEnd"/>
      <w:r>
        <w:t xml:space="preserve">, M. de, en D. Manschot. “IFRS SME toepasbaar in Nederland?”. </w:t>
      </w:r>
      <w:r w:rsidRPr="00561270">
        <w:rPr>
          <w:i/>
          <w:lang w:val="en-US"/>
        </w:rPr>
        <w:t xml:space="preserve">De accountant. </w:t>
      </w:r>
      <w:r w:rsidRPr="006E07F1">
        <w:rPr>
          <w:lang w:val="en-US"/>
        </w:rPr>
        <w:t xml:space="preserve">Amsterdam, </w:t>
      </w:r>
      <w:proofErr w:type="spellStart"/>
      <w:r w:rsidRPr="006E07F1">
        <w:rPr>
          <w:lang w:val="en-US"/>
        </w:rPr>
        <w:t>november</w:t>
      </w:r>
      <w:proofErr w:type="spellEnd"/>
      <w:r w:rsidRPr="006E07F1">
        <w:rPr>
          <w:lang w:val="en-US"/>
        </w:rPr>
        <w:t xml:space="preserve"> 2009. </w:t>
      </w:r>
      <w:r w:rsidRPr="006E07F1">
        <w:rPr>
          <w:i/>
          <w:lang w:val="en-US"/>
        </w:rPr>
        <w:t xml:space="preserve"> </w:t>
      </w:r>
    </w:p>
    <w:p w:rsidR="00B33389" w:rsidRPr="00B33389" w:rsidRDefault="00B33389" w:rsidP="00B33389">
      <w:r>
        <w:rPr>
          <w:lang w:val="en-US"/>
        </w:rPr>
        <w:t xml:space="preserve">KPMG LLP. “Issues In-Depth, A closer look at IFRS for SMEs”. </w:t>
      </w:r>
      <w:r w:rsidRPr="00B33389">
        <w:t>2009.</w:t>
      </w:r>
    </w:p>
    <w:p w:rsidR="00B33389" w:rsidRPr="00B33389" w:rsidRDefault="00B33389" w:rsidP="00B33389">
      <w:r w:rsidRPr="00E70FC3">
        <w:t>Manschot, D.  “T</w:t>
      </w:r>
      <w:r>
        <w:t xml:space="preserve">oepassing van IFRS </w:t>
      </w:r>
      <w:proofErr w:type="spellStart"/>
      <w:r>
        <w:t>SMEs</w:t>
      </w:r>
      <w:proofErr w:type="spellEnd"/>
      <w:r>
        <w:t xml:space="preserve"> kan leiden tot een lager vermogen”. </w:t>
      </w:r>
      <w:r w:rsidRPr="00B33389">
        <w:t>Deloitte. 2009.</w:t>
      </w:r>
    </w:p>
    <w:p w:rsidR="00B33389" w:rsidRPr="00AC3C21" w:rsidRDefault="00B33389" w:rsidP="00B33389">
      <w:proofErr w:type="spellStart"/>
      <w:r w:rsidRPr="00AC3C21">
        <w:t>Nivra</w:t>
      </w:r>
      <w:proofErr w:type="spellEnd"/>
      <w:r w:rsidRPr="00AC3C21">
        <w:t xml:space="preserve">. </w:t>
      </w:r>
      <w:r>
        <w:t>“</w:t>
      </w:r>
      <w:r w:rsidRPr="00AC3C21">
        <w:t>Visie op externe verslaggeving</w:t>
      </w:r>
      <w:r>
        <w:t>”</w:t>
      </w:r>
      <w:r w:rsidRPr="00AC3C21">
        <w:t>. 2007.</w:t>
      </w:r>
    </w:p>
    <w:p w:rsidR="00B33389" w:rsidRPr="00B33389" w:rsidRDefault="00B33389" w:rsidP="00B33389">
      <w:pPr>
        <w:tabs>
          <w:tab w:val="left" w:pos="6435"/>
        </w:tabs>
      </w:pPr>
      <w:r w:rsidRPr="00B33389">
        <w:t xml:space="preserve">PwC. IFRS </w:t>
      </w:r>
      <w:proofErr w:type="spellStart"/>
      <w:r w:rsidRPr="00B33389">
        <w:t>adoption</w:t>
      </w:r>
      <w:proofErr w:type="spellEnd"/>
      <w:r w:rsidRPr="00B33389">
        <w:t xml:space="preserve"> </w:t>
      </w:r>
      <w:proofErr w:type="spellStart"/>
      <w:r w:rsidRPr="00B33389">
        <w:t>by</w:t>
      </w:r>
      <w:proofErr w:type="spellEnd"/>
      <w:r w:rsidRPr="00B33389">
        <w:t xml:space="preserve"> country. 2010</w:t>
      </w:r>
      <w:r w:rsidRPr="00B33389">
        <w:tab/>
      </w:r>
    </w:p>
    <w:p w:rsidR="00B33389" w:rsidRPr="00151B0E" w:rsidRDefault="00B33389" w:rsidP="00B33389">
      <w:proofErr w:type="spellStart"/>
      <w:r w:rsidRPr="00A111A3">
        <w:t>Vergoossen</w:t>
      </w:r>
      <w:proofErr w:type="spellEnd"/>
      <w:r w:rsidRPr="00A111A3">
        <w:t>, R. “Jaarverslaggeving MKB in beweging</w:t>
      </w:r>
      <w:r>
        <w:t xml:space="preserve">”. </w:t>
      </w:r>
      <w:r w:rsidRPr="00151B0E">
        <w:t xml:space="preserve">Vakblad voor de </w:t>
      </w:r>
      <w:proofErr w:type="spellStart"/>
      <w:r w:rsidRPr="00151B0E">
        <w:t>MKBadviseur</w:t>
      </w:r>
      <w:proofErr w:type="spellEnd"/>
      <w:r w:rsidRPr="00151B0E">
        <w:t>. Alphen aan den</w:t>
      </w:r>
      <w:r>
        <w:t xml:space="preserve"> </w:t>
      </w:r>
      <w:r w:rsidRPr="00151B0E">
        <w:t>Rijn. December 2009.</w:t>
      </w:r>
    </w:p>
    <w:p w:rsidR="009A0204" w:rsidRDefault="009A0204" w:rsidP="00B33389">
      <w:pPr>
        <w:rPr>
          <w:b/>
        </w:rPr>
      </w:pPr>
    </w:p>
    <w:p w:rsidR="009A0204" w:rsidRDefault="009A0204" w:rsidP="00B33389">
      <w:pPr>
        <w:rPr>
          <w:b/>
        </w:rPr>
      </w:pPr>
    </w:p>
    <w:p w:rsidR="00B33389" w:rsidRPr="00B33389" w:rsidRDefault="00B33389" w:rsidP="00B33389">
      <w:pPr>
        <w:rPr>
          <w:b/>
        </w:rPr>
      </w:pPr>
      <w:r>
        <w:rPr>
          <w:b/>
        </w:rPr>
        <w:lastRenderedPageBreak/>
        <w:t>Wet- en r</w:t>
      </w:r>
      <w:r w:rsidRPr="00B33389">
        <w:rPr>
          <w:b/>
        </w:rPr>
        <w:t>egelgeving</w:t>
      </w:r>
    </w:p>
    <w:p w:rsidR="00B33389" w:rsidRPr="00151B0E" w:rsidRDefault="00B33389" w:rsidP="00B33389">
      <w:r w:rsidRPr="00151B0E">
        <w:t xml:space="preserve">Besluit Actuele Waarde </w:t>
      </w:r>
    </w:p>
    <w:p w:rsidR="00B33389" w:rsidRPr="0005512E" w:rsidRDefault="00B33389" w:rsidP="00B33389">
      <w:r w:rsidRPr="0005512E">
        <w:t>Boek 2 Burgerlijk Wetboek</w:t>
      </w:r>
    </w:p>
    <w:p w:rsidR="00B33389" w:rsidRPr="00151B0E" w:rsidRDefault="00B33389" w:rsidP="00B33389">
      <w:proofErr w:type="spellStart"/>
      <w:r w:rsidRPr="00151B0E">
        <w:t>Companies</w:t>
      </w:r>
      <w:proofErr w:type="spellEnd"/>
      <w:r w:rsidRPr="00151B0E">
        <w:t xml:space="preserve"> Act 2006 (Verenigd Koninkrijk) </w:t>
      </w:r>
    </w:p>
    <w:p w:rsidR="00B33389" w:rsidRPr="00F11AA7" w:rsidRDefault="00B33389" w:rsidP="00B33389">
      <w:proofErr w:type="spellStart"/>
      <w:r w:rsidRPr="00F11AA7">
        <w:t>Deutsches</w:t>
      </w:r>
      <w:proofErr w:type="spellEnd"/>
      <w:r w:rsidRPr="00F11AA7">
        <w:t xml:space="preserve"> </w:t>
      </w:r>
      <w:proofErr w:type="spellStart"/>
      <w:r w:rsidRPr="00F11AA7">
        <w:t>Handelsgesetzbuch</w:t>
      </w:r>
      <w:proofErr w:type="spellEnd"/>
    </w:p>
    <w:p w:rsidR="00B33389" w:rsidRPr="00B33389" w:rsidRDefault="00B33389" w:rsidP="00B33389">
      <w:r w:rsidRPr="00B33389">
        <w:t xml:space="preserve">Europese Commissie. “Aanbeveling 98/280/EG”. </w:t>
      </w:r>
    </w:p>
    <w:p w:rsidR="00B33389" w:rsidRPr="00F11AA7" w:rsidRDefault="00B33389" w:rsidP="00B33389">
      <w:pPr>
        <w:rPr>
          <w:lang w:val="en-US"/>
        </w:rPr>
      </w:pPr>
      <w:r>
        <w:rPr>
          <w:lang w:val="en-US"/>
        </w:rPr>
        <w:t xml:space="preserve">International Accounting Standards Board. </w:t>
      </w:r>
      <w:r w:rsidRPr="00D04B13">
        <w:rPr>
          <w:lang w:val="en-US"/>
        </w:rPr>
        <w:t>Conceptual Framework for Financial Reporting 2010</w:t>
      </w:r>
      <w:r>
        <w:rPr>
          <w:lang w:val="en-US"/>
        </w:rPr>
        <w:t xml:space="preserve">. </w:t>
      </w:r>
    </w:p>
    <w:p w:rsidR="00B33389" w:rsidRPr="00F11AA7" w:rsidRDefault="00B33389" w:rsidP="00B33389">
      <w:pPr>
        <w:rPr>
          <w:lang w:val="en-US"/>
        </w:rPr>
      </w:pPr>
      <w:r w:rsidRPr="00F11AA7">
        <w:rPr>
          <w:lang w:val="en-US"/>
        </w:rPr>
        <w:t xml:space="preserve">International Accounting Standards Board. IFRS and IAS standards. </w:t>
      </w:r>
    </w:p>
    <w:p w:rsidR="00B33389" w:rsidRDefault="00B33389" w:rsidP="00B33389">
      <w:pPr>
        <w:rPr>
          <w:lang w:val="en-US"/>
        </w:rPr>
      </w:pPr>
      <w:r w:rsidRPr="00A111A3">
        <w:rPr>
          <w:lang w:val="en-US"/>
        </w:rPr>
        <w:t xml:space="preserve">International Accounting Standards Board. </w:t>
      </w:r>
      <w:r w:rsidRPr="00374D14">
        <w:rPr>
          <w:lang w:val="en-US"/>
        </w:rPr>
        <w:t xml:space="preserve">IFRS for SMEs. </w:t>
      </w:r>
      <w:r>
        <w:rPr>
          <w:lang w:val="en-US"/>
        </w:rPr>
        <w:t>2009.</w:t>
      </w:r>
    </w:p>
    <w:p w:rsidR="00B33389" w:rsidRPr="00B33389" w:rsidRDefault="00B33389" w:rsidP="00B33389">
      <w:pPr>
        <w:rPr>
          <w:lang w:val="en-US"/>
        </w:rPr>
      </w:pPr>
      <w:proofErr w:type="spellStart"/>
      <w:r w:rsidRPr="00B33389">
        <w:rPr>
          <w:lang w:val="en-US"/>
        </w:rPr>
        <w:t>Richtlijnen</w:t>
      </w:r>
      <w:proofErr w:type="spellEnd"/>
      <w:r w:rsidRPr="00B33389">
        <w:rPr>
          <w:lang w:val="en-US"/>
        </w:rPr>
        <w:t xml:space="preserve"> </w:t>
      </w:r>
      <w:proofErr w:type="spellStart"/>
      <w:r w:rsidRPr="00B33389">
        <w:rPr>
          <w:lang w:val="en-US"/>
        </w:rPr>
        <w:t>voor</w:t>
      </w:r>
      <w:proofErr w:type="spellEnd"/>
      <w:r w:rsidRPr="00B33389">
        <w:rPr>
          <w:lang w:val="en-US"/>
        </w:rPr>
        <w:t xml:space="preserve"> de </w:t>
      </w:r>
      <w:proofErr w:type="spellStart"/>
      <w:r w:rsidRPr="00B33389">
        <w:rPr>
          <w:lang w:val="en-US"/>
        </w:rPr>
        <w:t>Jaarverslaggeving</w:t>
      </w:r>
      <w:proofErr w:type="spellEnd"/>
    </w:p>
    <w:p w:rsidR="00B33389" w:rsidRPr="00F11AA7" w:rsidRDefault="00B33389" w:rsidP="00B33389">
      <w:pPr>
        <w:rPr>
          <w:b/>
          <w:lang w:val="en-US"/>
        </w:rPr>
      </w:pPr>
      <w:r w:rsidRPr="00F11AA7">
        <w:rPr>
          <w:b/>
          <w:lang w:val="en-US"/>
        </w:rPr>
        <w:t>Websites</w:t>
      </w:r>
    </w:p>
    <w:p w:rsidR="00B33389" w:rsidRPr="00561270" w:rsidRDefault="00B33389" w:rsidP="00B33389">
      <w:r>
        <w:rPr>
          <w:lang w:val="en-US"/>
        </w:rPr>
        <w:t>Christodoulou, M. Accountancy Age. “</w:t>
      </w:r>
      <w:r w:rsidRPr="00C702AD">
        <w:rPr>
          <w:lang w:val="en-US"/>
        </w:rPr>
        <w:t>SME standards set for adoption across the glob</w:t>
      </w:r>
      <w:r>
        <w:rPr>
          <w:lang w:val="en-US"/>
        </w:rPr>
        <w:t xml:space="preserve">e”. </w:t>
      </w:r>
      <w:hyperlink r:id="rId12" w:history="1">
        <w:r w:rsidRPr="00561270">
          <w:rPr>
            <w:rStyle w:val="Hyperlink"/>
          </w:rPr>
          <w:t>http://www.accountancyage.com/aa/news/1775891/sme-standards-set-adoption-globe</w:t>
        </w:r>
      </w:hyperlink>
      <w:r w:rsidRPr="00561270">
        <w:t>. Gezien: 29 mei 2011</w:t>
      </w:r>
      <w:r>
        <w:t>.</w:t>
      </w:r>
    </w:p>
    <w:p w:rsidR="00B33389" w:rsidRPr="00B33389" w:rsidRDefault="00B33389" w:rsidP="00B33389">
      <w:pPr>
        <w:spacing w:after="0"/>
      </w:pPr>
      <w:r w:rsidRPr="00151B0E">
        <w:t xml:space="preserve">Deloitte. </w:t>
      </w:r>
      <w:r w:rsidRPr="00B33389">
        <w:t xml:space="preserve">“IASCF </w:t>
      </w:r>
      <w:proofErr w:type="spellStart"/>
      <w:r w:rsidRPr="00B33389">
        <w:t>Constitution</w:t>
      </w:r>
      <w:proofErr w:type="spellEnd"/>
      <w:r w:rsidRPr="00B33389">
        <w:t xml:space="preserve"> </w:t>
      </w:r>
      <w:proofErr w:type="spellStart"/>
      <w:r w:rsidRPr="00B33389">
        <w:t>Review</w:t>
      </w:r>
      <w:proofErr w:type="spellEnd"/>
      <w:r w:rsidRPr="00B33389">
        <w:t xml:space="preserve"> 2003-2005”. </w:t>
      </w:r>
      <w:hyperlink r:id="rId13" w:history="1">
        <w:r w:rsidRPr="00B33389">
          <w:rPr>
            <w:rStyle w:val="Hyperlink"/>
          </w:rPr>
          <w:t>http://www.iasplus.com/restruct/constreview.htm</w:t>
        </w:r>
      </w:hyperlink>
      <w:r w:rsidRPr="00B33389">
        <w:t xml:space="preserve"> </w:t>
      </w:r>
    </w:p>
    <w:p w:rsidR="00B33389" w:rsidRPr="00B33389" w:rsidRDefault="00B33389" w:rsidP="00B33389">
      <w:pPr>
        <w:spacing w:after="0"/>
      </w:pPr>
      <w:r w:rsidRPr="00B33389">
        <w:t>Gezien: 28 mei 2011.</w:t>
      </w:r>
    </w:p>
    <w:p w:rsidR="00B33389" w:rsidRPr="00B33389" w:rsidRDefault="00B33389" w:rsidP="00B33389">
      <w:pPr>
        <w:spacing w:after="0"/>
      </w:pPr>
    </w:p>
    <w:p w:rsidR="00B33389" w:rsidRDefault="00B33389" w:rsidP="00B33389">
      <w:pPr>
        <w:spacing w:after="0"/>
        <w:ind w:left="708" w:hanging="708"/>
      </w:pPr>
      <w:r>
        <w:t xml:space="preserve">Geffen, C.J.A. van. en J.L. van der Windt. Accountancynieuws.nl. “Conversie </w:t>
      </w:r>
      <w:proofErr w:type="spellStart"/>
      <w:r>
        <w:t>RJ-richtlijnen</w:t>
      </w:r>
      <w:proofErr w:type="spellEnd"/>
      <w:r>
        <w:t xml:space="preserve"> naar IFRS </w:t>
      </w:r>
    </w:p>
    <w:p w:rsidR="00B33389" w:rsidRDefault="00B33389" w:rsidP="00B33389">
      <w:pPr>
        <w:spacing w:after="0"/>
        <w:ind w:left="708" w:hanging="708"/>
      </w:pPr>
      <w:r>
        <w:t>SME is inspannend, maar wordt wel lonend”. Gezien: 11 juli 2011</w:t>
      </w:r>
    </w:p>
    <w:p w:rsidR="00B33389" w:rsidRDefault="00B667B3" w:rsidP="00B33389">
      <w:pPr>
        <w:spacing w:after="0"/>
        <w:ind w:left="708" w:hanging="708"/>
      </w:pPr>
      <w:hyperlink r:id="rId14" w:history="1">
        <w:r w:rsidR="00B33389" w:rsidRPr="00955C18">
          <w:rPr>
            <w:rStyle w:val="Hyperlink"/>
          </w:rPr>
          <w:t>http://accountancynieuws.nl/actueel/vaktechniek/conversie-rj-richtlijnen-naar-ifrs-sme-is.89913.lynkx?PostedField[keyword]=vereenvoudiging&amp;pageStart=81&amp;Confirmed=Zoeken</w:t>
        </w:r>
      </w:hyperlink>
    </w:p>
    <w:p w:rsidR="00B33389" w:rsidRPr="00CA5019" w:rsidRDefault="00B33389" w:rsidP="00B33389">
      <w:pPr>
        <w:spacing w:before="240"/>
        <w:rPr>
          <w:lang w:val="en-US"/>
        </w:rPr>
      </w:pPr>
      <w:r>
        <w:rPr>
          <w:lang w:val="en-US"/>
        </w:rPr>
        <w:t xml:space="preserve">IFRS. “About IFRS for SMEs”. </w:t>
      </w:r>
      <w:hyperlink r:id="rId15" w:history="1">
        <w:r w:rsidRPr="00F11AA7">
          <w:rPr>
            <w:rStyle w:val="Hyperlink"/>
          </w:rPr>
          <w:t>http://www.ifrs.org/IFRS+for+SMEs/IFRS+for+SMEs.htm</w:t>
        </w:r>
      </w:hyperlink>
      <w:r w:rsidRPr="00F11AA7">
        <w:t xml:space="preserve">. </w:t>
      </w:r>
      <w:proofErr w:type="spellStart"/>
      <w:r w:rsidRPr="00CA5019">
        <w:rPr>
          <w:lang w:val="en-US"/>
        </w:rPr>
        <w:t>Gezien</w:t>
      </w:r>
      <w:proofErr w:type="spellEnd"/>
      <w:r w:rsidRPr="00CA5019">
        <w:rPr>
          <w:lang w:val="en-US"/>
        </w:rPr>
        <w:t xml:space="preserve">: 28 </w:t>
      </w:r>
      <w:proofErr w:type="spellStart"/>
      <w:r w:rsidRPr="00CA5019">
        <w:rPr>
          <w:lang w:val="en-US"/>
        </w:rPr>
        <w:t>mei</w:t>
      </w:r>
      <w:proofErr w:type="spellEnd"/>
      <w:r w:rsidRPr="00CA5019">
        <w:rPr>
          <w:lang w:val="en-US"/>
        </w:rPr>
        <w:t xml:space="preserve"> 2011.</w:t>
      </w:r>
    </w:p>
    <w:p w:rsidR="00B33389" w:rsidRPr="00F11AA7" w:rsidRDefault="00B33389" w:rsidP="00B33389">
      <w:r w:rsidRPr="004A58BF">
        <w:rPr>
          <w:lang w:val="en-US"/>
        </w:rPr>
        <w:t xml:space="preserve">IFRS. </w:t>
      </w:r>
      <w:r>
        <w:rPr>
          <w:lang w:val="en-US"/>
        </w:rPr>
        <w:t>“</w:t>
      </w:r>
      <w:r w:rsidRPr="004A58BF">
        <w:rPr>
          <w:lang w:val="en-US"/>
        </w:rPr>
        <w:t>About the IFRS Foundation and the IASB</w:t>
      </w:r>
      <w:r>
        <w:rPr>
          <w:lang w:val="en-US"/>
        </w:rPr>
        <w:t xml:space="preserve">”. </w:t>
      </w:r>
      <w:hyperlink r:id="rId16" w:history="1">
        <w:r w:rsidRPr="00561270">
          <w:rPr>
            <w:rStyle w:val="Hyperlink"/>
          </w:rPr>
          <w:t>http://www.ifrs.org/The+organisation/IASCF+and+IASB.htm</w:t>
        </w:r>
      </w:hyperlink>
      <w:r w:rsidRPr="00561270">
        <w:t xml:space="preserve">. </w:t>
      </w:r>
      <w:r w:rsidRPr="00F11AA7">
        <w:t>Gezien: 28 mei 2011.</w:t>
      </w:r>
    </w:p>
    <w:p w:rsidR="00B33389" w:rsidRPr="00B33389" w:rsidRDefault="00B33389" w:rsidP="00B33389">
      <w:r w:rsidRPr="00561270">
        <w:t>IFRS. “</w:t>
      </w:r>
      <w:proofErr w:type="spellStart"/>
      <w:r w:rsidRPr="00561270">
        <w:t>How</w:t>
      </w:r>
      <w:proofErr w:type="spellEnd"/>
      <w:r w:rsidRPr="00561270">
        <w:t xml:space="preserve"> we </w:t>
      </w:r>
      <w:proofErr w:type="spellStart"/>
      <w:r w:rsidRPr="00561270">
        <w:t>develop</w:t>
      </w:r>
      <w:proofErr w:type="spellEnd"/>
      <w:r w:rsidRPr="00561270">
        <w:t xml:space="preserve"> </w:t>
      </w:r>
      <w:proofErr w:type="spellStart"/>
      <w:r w:rsidRPr="00561270">
        <w:t>IFRSs</w:t>
      </w:r>
      <w:proofErr w:type="spellEnd"/>
      <w:r w:rsidRPr="00561270">
        <w:t xml:space="preserve">” </w:t>
      </w:r>
      <w:hyperlink r:id="rId17" w:history="1">
        <w:r w:rsidRPr="00561270">
          <w:rPr>
            <w:rStyle w:val="Hyperlink"/>
          </w:rPr>
          <w:t>http://www.ifrs.org/How+we+develop+standards/How+we+develop+standards.htm</w:t>
        </w:r>
      </w:hyperlink>
      <w:r w:rsidRPr="00561270">
        <w:t xml:space="preserve">. </w:t>
      </w:r>
      <w:r w:rsidRPr="00B33389">
        <w:t>Gezien: 3 juni 2011.</w:t>
      </w:r>
    </w:p>
    <w:p w:rsidR="00B33389" w:rsidRPr="00561270" w:rsidRDefault="00B33389" w:rsidP="00B33389">
      <w:pPr>
        <w:spacing w:after="0"/>
      </w:pPr>
      <w:r w:rsidRPr="00B33389">
        <w:t>IFRS. “</w:t>
      </w:r>
      <w:proofErr w:type="spellStart"/>
      <w:r w:rsidRPr="00B33389">
        <w:t>How</w:t>
      </w:r>
      <w:proofErr w:type="spellEnd"/>
      <w:r w:rsidRPr="00B33389">
        <w:t xml:space="preserve"> we </w:t>
      </w:r>
      <w:proofErr w:type="spellStart"/>
      <w:r w:rsidRPr="00B33389">
        <w:t>develop</w:t>
      </w:r>
      <w:proofErr w:type="spellEnd"/>
      <w:r w:rsidRPr="00B33389">
        <w:t xml:space="preserve"> </w:t>
      </w:r>
      <w:proofErr w:type="spellStart"/>
      <w:r w:rsidRPr="00B33389">
        <w:t>Interpretations</w:t>
      </w:r>
      <w:proofErr w:type="spellEnd"/>
      <w:r w:rsidRPr="00B33389">
        <w:t xml:space="preserve"> (</w:t>
      </w:r>
      <w:proofErr w:type="spellStart"/>
      <w:r w:rsidRPr="00B33389">
        <w:t>IFRICs</w:t>
      </w:r>
      <w:proofErr w:type="spellEnd"/>
      <w:r w:rsidRPr="00B33389">
        <w:t xml:space="preserve">)”. </w:t>
      </w:r>
      <w:hyperlink r:id="rId18" w:history="1">
        <w:r w:rsidRPr="00561270">
          <w:rPr>
            <w:rStyle w:val="Hyperlink"/>
          </w:rPr>
          <w:t>http://www.ifrs.org/How+we+develop+Interpretations/How+we+develop+Interpretations.htm</w:t>
        </w:r>
      </w:hyperlink>
    </w:p>
    <w:p w:rsidR="00B33389" w:rsidRPr="004A58BF" w:rsidRDefault="00B33389" w:rsidP="00B33389">
      <w:pPr>
        <w:spacing w:after="0"/>
        <w:rPr>
          <w:lang w:val="en-US"/>
        </w:rPr>
      </w:pPr>
      <w:proofErr w:type="spellStart"/>
      <w:r w:rsidRPr="004A58BF">
        <w:rPr>
          <w:lang w:val="en-US"/>
        </w:rPr>
        <w:t>Gezien</w:t>
      </w:r>
      <w:proofErr w:type="spellEnd"/>
      <w:r w:rsidRPr="004A58BF">
        <w:rPr>
          <w:lang w:val="en-US"/>
        </w:rPr>
        <w:t xml:space="preserve">: 28 </w:t>
      </w:r>
      <w:proofErr w:type="spellStart"/>
      <w:r w:rsidRPr="004A58BF">
        <w:rPr>
          <w:lang w:val="en-US"/>
        </w:rPr>
        <w:t>mei</w:t>
      </w:r>
      <w:proofErr w:type="spellEnd"/>
      <w:r w:rsidRPr="004A58BF">
        <w:rPr>
          <w:lang w:val="en-US"/>
        </w:rPr>
        <w:t xml:space="preserve"> 2011</w:t>
      </w:r>
      <w:r>
        <w:rPr>
          <w:lang w:val="en-US"/>
        </w:rPr>
        <w:t>.</w:t>
      </w:r>
    </w:p>
    <w:p w:rsidR="00B33389" w:rsidRPr="004A58BF" w:rsidRDefault="00B33389" w:rsidP="00B33389">
      <w:pPr>
        <w:spacing w:after="0"/>
        <w:rPr>
          <w:lang w:val="en-US"/>
        </w:rPr>
      </w:pPr>
    </w:p>
    <w:p w:rsidR="00B33389" w:rsidRPr="00A111A3" w:rsidRDefault="00B33389" w:rsidP="00B33389">
      <w:r>
        <w:rPr>
          <w:lang w:val="en-US"/>
        </w:rPr>
        <w:lastRenderedPageBreak/>
        <w:t>IFRS. “</w:t>
      </w:r>
      <w:r w:rsidRPr="00811883">
        <w:rPr>
          <w:lang w:val="en-US"/>
        </w:rPr>
        <w:t>Work plan for IFRS SME</w:t>
      </w:r>
      <w:r>
        <w:rPr>
          <w:lang w:val="en-US"/>
        </w:rPr>
        <w:t xml:space="preserve">s”. </w:t>
      </w:r>
      <w:r w:rsidRPr="00811883">
        <w:rPr>
          <w:lang w:val="en-US"/>
        </w:rPr>
        <w:t xml:space="preserve"> </w:t>
      </w:r>
      <w:hyperlink r:id="rId19" w:history="1">
        <w:r w:rsidRPr="00F11AA7">
          <w:rPr>
            <w:rStyle w:val="Hyperlink"/>
          </w:rPr>
          <w:t>http://www.ifrs.org/Current+Projects/IASB+Projects/Small+and+Medium-sized+Entities/Small+and+Medium-sized+Entities.htm</w:t>
        </w:r>
      </w:hyperlink>
      <w:r w:rsidRPr="00F11AA7">
        <w:t xml:space="preserve">. </w:t>
      </w:r>
      <w:r w:rsidRPr="00A111A3">
        <w:t>Gezien: 3 juni 2011</w:t>
      </w:r>
      <w:r>
        <w:t>.</w:t>
      </w:r>
    </w:p>
    <w:p w:rsidR="00B33389" w:rsidRPr="00775820" w:rsidRDefault="00B33389" w:rsidP="00B33389">
      <w:pPr>
        <w:rPr>
          <w:rFonts w:ascii="Calibri" w:hAnsi="Calibri"/>
        </w:rPr>
      </w:pPr>
      <w:proofErr w:type="spellStart"/>
      <w:r w:rsidRPr="00561270">
        <w:t>Inc</w:t>
      </w:r>
      <w:proofErr w:type="spellEnd"/>
      <w:r w:rsidRPr="00561270">
        <w:t xml:space="preserve">. “Financial Statements </w:t>
      </w:r>
      <w:proofErr w:type="spellStart"/>
      <w:r w:rsidRPr="00561270">
        <w:t>Encyclopedia</w:t>
      </w:r>
      <w:proofErr w:type="spellEnd"/>
      <w:r w:rsidRPr="00561270">
        <w:t xml:space="preserve">. </w:t>
      </w:r>
      <w:hyperlink r:id="rId20" w:history="1">
        <w:r w:rsidRPr="00775820">
          <w:rPr>
            <w:rStyle w:val="Hyperlink"/>
          </w:rPr>
          <w:t>h</w:t>
        </w:r>
        <w:r w:rsidRPr="00775820">
          <w:rPr>
            <w:rStyle w:val="Hyperlink"/>
            <w:rFonts w:ascii="Calibri" w:hAnsi="Calibri"/>
          </w:rPr>
          <w:t>ttp://www.inc.com/encyclopedia/financial-statements.html</w:t>
        </w:r>
      </w:hyperlink>
      <w:r w:rsidRPr="00775820">
        <w:rPr>
          <w:rFonts w:ascii="Calibri" w:hAnsi="Calibri"/>
        </w:rPr>
        <w:t>. Gezien: 29 mei 2011</w:t>
      </w:r>
      <w:r>
        <w:rPr>
          <w:rFonts w:ascii="Calibri" w:hAnsi="Calibri"/>
        </w:rPr>
        <w:t>.</w:t>
      </w:r>
    </w:p>
    <w:p w:rsidR="00B33389" w:rsidRDefault="00B33389" w:rsidP="00B33389">
      <w:proofErr w:type="spellStart"/>
      <w:r w:rsidRPr="00A111A3">
        <w:t>Litjens</w:t>
      </w:r>
      <w:proofErr w:type="spellEnd"/>
      <w:r w:rsidRPr="00A111A3">
        <w:t>, R</w:t>
      </w:r>
      <w:r>
        <w:t xml:space="preserve">. Accountancynieuws.nl. </w:t>
      </w:r>
      <w:r w:rsidRPr="00A111A3">
        <w:t>“</w:t>
      </w:r>
      <w:proofErr w:type="spellStart"/>
      <w:r w:rsidRPr="00A111A3">
        <w:t>XBRL-taxonomieën</w:t>
      </w:r>
      <w:proofErr w:type="spellEnd"/>
      <w:r w:rsidRPr="00A111A3">
        <w:t xml:space="preserve"> geven beeld van administratieve lasten IFRS SME</w:t>
      </w:r>
      <w:r>
        <w:t xml:space="preserve">”. </w:t>
      </w:r>
      <w:hyperlink r:id="rId21" w:history="1">
        <w:r w:rsidRPr="001D2A82">
          <w:rPr>
            <w:rStyle w:val="Hyperlink"/>
          </w:rPr>
          <w:t>http://www.accountancynieuws.nl/actueel/vaktechniek/xbrl-taxonomieen-geven-beeld-van-administratieve.91137.lynkx</w:t>
        </w:r>
      </w:hyperlink>
      <w:r>
        <w:t>. Gezien: 6 juli 2011.</w:t>
      </w:r>
    </w:p>
    <w:p w:rsidR="00B33389" w:rsidRDefault="00B33389" w:rsidP="00B33389">
      <w:pPr>
        <w:spacing w:after="0"/>
        <w:ind w:left="708" w:hanging="708"/>
      </w:pPr>
      <w:r>
        <w:t xml:space="preserve">MKB Servicedesk. “Wat zijn financiële </w:t>
      </w:r>
      <w:proofErr w:type="spellStart"/>
      <w:r>
        <w:t>ratio’s</w:t>
      </w:r>
      <w:proofErr w:type="spellEnd"/>
      <w:r>
        <w:t xml:space="preserve">?” </w:t>
      </w:r>
    </w:p>
    <w:p w:rsidR="00B33389" w:rsidRDefault="00B667B3" w:rsidP="00B33389">
      <w:pPr>
        <w:spacing w:after="0"/>
        <w:ind w:left="708" w:hanging="708"/>
      </w:pPr>
      <w:hyperlink r:id="rId22" w:history="1">
        <w:r w:rsidR="00B33389" w:rsidRPr="001D2A82">
          <w:rPr>
            <w:rStyle w:val="Hyperlink"/>
          </w:rPr>
          <w:t>http://www.mkbservicedesk.nl/2335/wat-zijn-financiele-ratio.htm</w:t>
        </w:r>
      </w:hyperlink>
      <w:r w:rsidR="00B33389">
        <w:t>. Gezien: 10 juli 2011.</w:t>
      </w:r>
    </w:p>
    <w:p w:rsidR="00B33389" w:rsidRPr="00B33389" w:rsidRDefault="00B33389" w:rsidP="00B33389">
      <w:pPr>
        <w:spacing w:before="240"/>
        <w:rPr>
          <w:lang w:val="en-US"/>
        </w:rPr>
      </w:pPr>
      <w:r>
        <w:t xml:space="preserve">Rijksoverheid. “Minister Donner in zijn toespraak op de dag van de persvrijheid”. </w:t>
      </w:r>
      <w:hyperlink r:id="rId23" w:history="1">
        <w:r w:rsidRPr="00003D2E">
          <w:rPr>
            <w:rStyle w:val="Hyperlink"/>
          </w:rPr>
          <w:t>http://www.rijksoverheid.nl/regering/het-kabinet/bewindspersonen/piet-hein-donner/toespraken/2011/05/03/toespraak-op-de-dag-van-de-persvrijheid.html</w:t>
        </w:r>
      </w:hyperlink>
      <w:r>
        <w:t xml:space="preserve">. </w:t>
      </w:r>
      <w:proofErr w:type="spellStart"/>
      <w:r w:rsidRPr="00B33389">
        <w:rPr>
          <w:lang w:val="en-US"/>
        </w:rPr>
        <w:t>Gezien</w:t>
      </w:r>
      <w:proofErr w:type="spellEnd"/>
      <w:r w:rsidRPr="00B33389">
        <w:rPr>
          <w:lang w:val="en-US"/>
        </w:rPr>
        <w:t xml:space="preserve">: 5 </w:t>
      </w:r>
      <w:proofErr w:type="spellStart"/>
      <w:r w:rsidRPr="00B33389">
        <w:rPr>
          <w:lang w:val="en-US"/>
        </w:rPr>
        <w:t>juni</w:t>
      </w:r>
      <w:proofErr w:type="spellEnd"/>
      <w:r w:rsidRPr="00B33389">
        <w:rPr>
          <w:lang w:val="en-US"/>
        </w:rPr>
        <w:t xml:space="preserve"> 2011.</w:t>
      </w:r>
    </w:p>
    <w:p w:rsidR="00B33389" w:rsidRPr="00775820" w:rsidRDefault="00B33389" w:rsidP="00B33389">
      <w:pPr>
        <w:rPr>
          <w:rFonts w:ascii="Calibri" w:hAnsi="Calibri"/>
          <w:sz w:val="20"/>
          <w:lang w:val="en-US"/>
        </w:rPr>
      </w:pPr>
      <w:r>
        <w:rPr>
          <w:lang w:val="en-US"/>
        </w:rPr>
        <w:t xml:space="preserve"> </w:t>
      </w:r>
      <w:r w:rsidRPr="00775820">
        <w:rPr>
          <w:lang w:val="en-US"/>
        </w:rPr>
        <w:t>U</w:t>
      </w:r>
      <w:r>
        <w:rPr>
          <w:lang w:val="en-US"/>
        </w:rPr>
        <w:t>.</w:t>
      </w:r>
      <w:r w:rsidRPr="00775820">
        <w:rPr>
          <w:lang w:val="en-US"/>
        </w:rPr>
        <w:t>S</w:t>
      </w:r>
      <w:r>
        <w:rPr>
          <w:lang w:val="en-US"/>
        </w:rPr>
        <w:t>.</w:t>
      </w:r>
      <w:r w:rsidRPr="00775820">
        <w:rPr>
          <w:lang w:val="en-US"/>
        </w:rPr>
        <w:t xml:space="preserve"> Small Business Administration. </w:t>
      </w:r>
      <w:hyperlink r:id="rId24" w:history="1">
        <w:r w:rsidRPr="00775820">
          <w:rPr>
            <w:rStyle w:val="Hyperlink"/>
            <w:lang w:val="en-US"/>
          </w:rPr>
          <w:t>http://www.sba.gov/</w:t>
        </w:r>
      </w:hyperlink>
      <w:r w:rsidRPr="00775820">
        <w:rPr>
          <w:lang w:val="en-US"/>
        </w:rPr>
        <w:t xml:space="preserve">. </w:t>
      </w:r>
      <w:proofErr w:type="spellStart"/>
      <w:r w:rsidRPr="00775820">
        <w:rPr>
          <w:lang w:val="en-US"/>
        </w:rPr>
        <w:t>Gezien</w:t>
      </w:r>
      <w:proofErr w:type="spellEnd"/>
      <w:r w:rsidRPr="00775820">
        <w:rPr>
          <w:lang w:val="en-US"/>
        </w:rPr>
        <w:t xml:space="preserve">: 29 </w:t>
      </w:r>
      <w:proofErr w:type="spellStart"/>
      <w:r w:rsidRPr="00775820">
        <w:rPr>
          <w:lang w:val="en-US"/>
        </w:rPr>
        <w:t>mei</w:t>
      </w:r>
      <w:proofErr w:type="spellEnd"/>
      <w:r w:rsidRPr="00775820">
        <w:rPr>
          <w:lang w:val="en-US"/>
        </w:rPr>
        <w:t xml:space="preserve"> 2011</w:t>
      </w:r>
      <w:r>
        <w:rPr>
          <w:lang w:val="en-US"/>
        </w:rPr>
        <w:t>.</w:t>
      </w:r>
    </w:p>
    <w:p w:rsidR="00B33389" w:rsidRPr="00B33389" w:rsidRDefault="00B33389" w:rsidP="00D24D83">
      <w:pPr>
        <w:spacing w:line="360" w:lineRule="auto"/>
        <w:rPr>
          <w:b/>
        </w:rPr>
      </w:pPr>
    </w:p>
    <w:sectPr w:rsidR="00B33389" w:rsidRPr="00B33389" w:rsidSect="00C10D53">
      <w:footerReference w:type="default" r:id="rId25"/>
      <w:footerReference w:type="first" r:id="rId26"/>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7CB0" w:rsidRDefault="00047CB0" w:rsidP="00780824">
      <w:pPr>
        <w:spacing w:after="0" w:line="240" w:lineRule="auto"/>
      </w:pPr>
      <w:r>
        <w:separator/>
      </w:r>
    </w:p>
  </w:endnote>
  <w:endnote w:type="continuationSeparator" w:id="0">
    <w:p w:rsidR="00047CB0" w:rsidRDefault="00047CB0" w:rsidP="0078082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EYInterstateLight">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12567"/>
      <w:docPartObj>
        <w:docPartGallery w:val="Page Numbers (Bottom of Page)"/>
        <w:docPartUnique/>
      </w:docPartObj>
    </w:sdtPr>
    <w:sdtContent>
      <w:p w:rsidR="00C10D53" w:rsidRDefault="00C10D53">
        <w:pPr>
          <w:pStyle w:val="Voettekst"/>
          <w:jc w:val="center"/>
        </w:pPr>
        <w:fldSimple w:instr=" PAGE   \* MERGEFORMAT ">
          <w:r>
            <w:rPr>
              <w:noProof/>
            </w:rPr>
            <w:t>6</w:t>
          </w:r>
        </w:fldSimple>
      </w:p>
    </w:sdtContent>
  </w:sdt>
  <w:p w:rsidR="00C10D53" w:rsidRDefault="00C10D53">
    <w:pPr>
      <w:pStyle w:val="Voetteks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12560"/>
      <w:docPartObj>
        <w:docPartGallery w:val="Page Numbers (Bottom of Page)"/>
        <w:docPartUnique/>
      </w:docPartObj>
    </w:sdtPr>
    <w:sdtContent>
      <w:p w:rsidR="00C10D53" w:rsidRDefault="00C10D53">
        <w:pPr>
          <w:pStyle w:val="Voettekst"/>
          <w:jc w:val="center"/>
        </w:pPr>
      </w:p>
    </w:sdtContent>
  </w:sdt>
  <w:p w:rsidR="00C10D53" w:rsidRDefault="00C10D53">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7CB0" w:rsidRDefault="00047CB0" w:rsidP="00780824">
      <w:pPr>
        <w:spacing w:after="0" w:line="240" w:lineRule="auto"/>
      </w:pPr>
      <w:r>
        <w:separator/>
      </w:r>
    </w:p>
  </w:footnote>
  <w:footnote w:type="continuationSeparator" w:id="0">
    <w:p w:rsidR="00047CB0" w:rsidRDefault="00047CB0" w:rsidP="00780824">
      <w:pPr>
        <w:spacing w:after="0" w:line="240" w:lineRule="auto"/>
      </w:pPr>
      <w:r>
        <w:continuationSeparator/>
      </w:r>
    </w:p>
  </w:footnote>
  <w:footnote w:id="1">
    <w:p w:rsidR="009A0204" w:rsidRPr="00DF5613" w:rsidRDefault="009A0204" w:rsidP="00E75723">
      <w:pPr>
        <w:pStyle w:val="Voetnoottekst"/>
        <w:rPr>
          <w:lang w:val="en-US"/>
        </w:rPr>
      </w:pPr>
      <w:r>
        <w:rPr>
          <w:rStyle w:val="Voetnootmarkering"/>
        </w:rPr>
        <w:footnoteRef/>
      </w:r>
      <w:r w:rsidRPr="00DF5613">
        <w:rPr>
          <w:lang w:val="en-US"/>
        </w:rPr>
        <w:t xml:space="preserve"> IFRS SME</w:t>
      </w:r>
    </w:p>
  </w:footnote>
  <w:footnote w:id="2">
    <w:p w:rsidR="009A0204" w:rsidRPr="00DF5613" w:rsidRDefault="009A0204" w:rsidP="00E75723">
      <w:pPr>
        <w:pStyle w:val="Voetnoottekst"/>
        <w:rPr>
          <w:lang w:val="en-US"/>
        </w:rPr>
      </w:pPr>
      <w:r>
        <w:rPr>
          <w:rStyle w:val="Voetnootmarkering"/>
        </w:rPr>
        <w:footnoteRef/>
      </w:r>
      <w:r w:rsidRPr="00DF5613">
        <w:rPr>
          <w:lang w:val="en-US"/>
        </w:rPr>
        <w:t xml:space="preserve"> Full IFRS</w:t>
      </w:r>
    </w:p>
  </w:footnote>
  <w:footnote w:id="3">
    <w:p w:rsidR="009A0204" w:rsidRPr="00032664" w:rsidRDefault="009A0204">
      <w:pPr>
        <w:pStyle w:val="Voetnoottekst"/>
        <w:rPr>
          <w:lang w:val="en-US"/>
        </w:rPr>
      </w:pPr>
      <w:r>
        <w:rPr>
          <w:rStyle w:val="Voetnootmarkering"/>
        </w:rPr>
        <w:footnoteRef/>
      </w:r>
      <w:r w:rsidRPr="00032664">
        <w:rPr>
          <w:lang w:val="en-US"/>
        </w:rPr>
        <w:t xml:space="preserve"> </w:t>
      </w:r>
      <w:proofErr w:type="spellStart"/>
      <w:r w:rsidRPr="00032664">
        <w:rPr>
          <w:lang w:val="en-US"/>
        </w:rPr>
        <w:t>Verder</w:t>
      </w:r>
      <w:proofErr w:type="spellEnd"/>
      <w:r w:rsidRPr="00032664">
        <w:rPr>
          <w:lang w:val="en-US"/>
        </w:rPr>
        <w:t>: IASB</w:t>
      </w:r>
    </w:p>
  </w:footnote>
  <w:footnote w:id="4">
    <w:p w:rsidR="009A0204" w:rsidRPr="00DF5613" w:rsidRDefault="009A0204">
      <w:pPr>
        <w:pStyle w:val="Voetnoottekst"/>
        <w:rPr>
          <w:lang w:val="en-US"/>
        </w:rPr>
      </w:pPr>
      <w:r>
        <w:rPr>
          <w:rStyle w:val="Voetnootmarkering"/>
        </w:rPr>
        <w:footnoteRef/>
      </w:r>
      <w:r w:rsidRPr="00E410C9">
        <w:rPr>
          <w:lang w:val="en-US"/>
        </w:rPr>
        <w:t xml:space="preserve"> International Financial Reporting Standards.</w:t>
      </w:r>
      <w:r>
        <w:rPr>
          <w:lang w:val="en-US"/>
        </w:rPr>
        <w:t xml:space="preserve"> </w:t>
      </w:r>
      <w:proofErr w:type="spellStart"/>
      <w:r w:rsidRPr="00DF5613">
        <w:rPr>
          <w:lang w:val="en-US"/>
        </w:rPr>
        <w:t>Regelgeving</w:t>
      </w:r>
      <w:proofErr w:type="spellEnd"/>
      <w:r w:rsidRPr="00DF5613">
        <w:rPr>
          <w:lang w:val="en-US"/>
        </w:rPr>
        <w:t xml:space="preserve"> </w:t>
      </w:r>
      <w:proofErr w:type="spellStart"/>
      <w:r w:rsidRPr="00DF5613">
        <w:rPr>
          <w:lang w:val="en-US"/>
        </w:rPr>
        <w:t>opgesteld</w:t>
      </w:r>
      <w:proofErr w:type="spellEnd"/>
      <w:r w:rsidRPr="00DF5613">
        <w:rPr>
          <w:lang w:val="en-US"/>
        </w:rPr>
        <w:t xml:space="preserve"> door IASB, </w:t>
      </w:r>
      <w:proofErr w:type="spellStart"/>
      <w:r w:rsidRPr="00DF5613">
        <w:rPr>
          <w:lang w:val="en-US"/>
        </w:rPr>
        <w:t>verder</w:t>
      </w:r>
      <w:proofErr w:type="spellEnd"/>
      <w:r w:rsidRPr="00DF5613">
        <w:rPr>
          <w:lang w:val="en-US"/>
        </w:rPr>
        <w:t>: full IFRS</w:t>
      </w:r>
    </w:p>
  </w:footnote>
  <w:footnote w:id="5">
    <w:p w:rsidR="009A0204" w:rsidRPr="00032664" w:rsidRDefault="009A0204">
      <w:pPr>
        <w:pStyle w:val="Voetnoottekst"/>
      </w:pPr>
      <w:r>
        <w:rPr>
          <w:rStyle w:val="Voetnootmarkering"/>
        </w:rPr>
        <w:footnoteRef/>
      </w:r>
      <w:r w:rsidRPr="00E410C9">
        <w:rPr>
          <w:lang w:val="en-US"/>
        </w:rPr>
        <w:t xml:space="preserve"> IFRS for S</w:t>
      </w:r>
      <w:r>
        <w:rPr>
          <w:lang w:val="en-US"/>
        </w:rPr>
        <w:t xml:space="preserve">mall and Medium-sized Entities. </w:t>
      </w:r>
      <w:r w:rsidRPr="00032664">
        <w:t>Verder: IFRS SME</w:t>
      </w:r>
    </w:p>
  </w:footnote>
  <w:footnote w:id="6">
    <w:p w:rsidR="009A0204" w:rsidRDefault="009A0204">
      <w:pPr>
        <w:pStyle w:val="Voetnoottekst"/>
      </w:pPr>
      <w:r>
        <w:rPr>
          <w:rStyle w:val="Voetnootmarkering"/>
        </w:rPr>
        <w:footnoteRef/>
      </w:r>
      <w:r>
        <w:t xml:space="preserve"> Boek 2 Burgerlijk Wetboek en de Richtlijnen voor de Jaarverslaggeving. Deze richtlijnen worden verder benoemd als RJ, voor de term Nederlandse wet- en regelgeving wordt ook gebruik gemaakt van de term Dutch GAAP. </w:t>
      </w:r>
    </w:p>
  </w:footnote>
  <w:footnote w:id="7">
    <w:p w:rsidR="009A0204" w:rsidRPr="00DF5613" w:rsidRDefault="009A0204" w:rsidP="00780824">
      <w:pPr>
        <w:pStyle w:val="Voetnoottekst"/>
        <w:rPr>
          <w:lang w:val="en-US"/>
        </w:rPr>
      </w:pPr>
      <w:r>
        <w:rPr>
          <w:rStyle w:val="Voetnootmarkering"/>
        </w:rPr>
        <w:footnoteRef/>
      </w:r>
      <w:r w:rsidRPr="00DF5613">
        <w:rPr>
          <w:lang w:val="en-US"/>
        </w:rPr>
        <w:t xml:space="preserve"> IASCF Constitution Review 2003-2005, via: </w:t>
      </w:r>
      <w:hyperlink r:id="rId1" w:history="1">
        <w:r w:rsidRPr="00DF5613">
          <w:rPr>
            <w:rStyle w:val="Hyperlink"/>
            <w:lang w:val="en-US"/>
          </w:rPr>
          <w:t>http://www.iasplus.com/restruct/constreview.htm</w:t>
        </w:r>
      </w:hyperlink>
      <w:r w:rsidRPr="00DF5613">
        <w:rPr>
          <w:lang w:val="en-US"/>
        </w:rPr>
        <w:t xml:space="preserve"> </w:t>
      </w:r>
    </w:p>
  </w:footnote>
  <w:footnote w:id="8">
    <w:p w:rsidR="009A0204" w:rsidRPr="002934EB" w:rsidRDefault="009A0204" w:rsidP="00780824">
      <w:pPr>
        <w:pStyle w:val="Voetnoottekst"/>
      </w:pPr>
      <w:r>
        <w:rPr>
          <w:rStyle w:val="Voetnootmarkering"/>
        </w:rPr>
        <w:footnoteRef/>
      </w:r>
      <w:r>
        <w:t xml:space="preserve"> </w:t>
      </w:r>
      <w:r w:rsidRPr="002934EB">
        <w:t xml:space="preserve">Voorheen: IFRIC. Deze term wordt nog wel gebruikt voor de interpretaties van het </w:t>
      </w:r>
      <w:proofErr w:type="spellStart"/>
      <w:r w:rsidRPr="002934EB">
        <w:t>Committee</w:t>
      </w:r>
      <w:proofErr w:type="spellEnd"/>
      <w:r w:rsidRPr="002934EB">
        <w:t>, en wordt in die context ook toegepast in de scriptie.</w:t>
      </w:r>
    </w:p>
  </w:footnote>
  <w:footnote w:id="9">
    <w:p w:rsidR="009A0204" w:rsidRPr="0042168D" w:rsidRDefault="009A0204" w:rsidP="00780824">
      <w:pPr>
        <w:pStyle w:val="Voetnoottekst"/>
        <w:rPr>
          <w:lang w:val="en-US"/>
        </w:rPr>
      </w:pPr>
      <w:r>
        <w:rPr>
          <w:rStyle w:val="Voetnootmarkering"/>
        </w:rPr>
        <w:footnoteRef/>
      </w:r>
      <w:r w:rsidRPr="002934EB">
        <w:rPr>
          <w:lang w:val="en-US"/>
        </w:rPr>
        <w:t xml:space="preserve"> </w:t>
      </w:r>
      <w:r>
        <w:rPr>
          <w:lang w:val="en-US"/>
        </w:rPr>
        <w:t xml:space="preserve">IFRS </w:t>
      </w:r>
      <w:r w:rsidRPr="002934EB">
        <w:rPr>
          <w:lang w:val="en-US"/>
        </w:rPr>
        <w:t>How we develop Interpretations (IFRICs)</w:t>
      </w:r>
      <w:r>
        <w:rPr>
          <w:lang w:val="en-US"/>
        </w:rPr>
        <w:t xml:space="preserve">, via: </w:t>
      </w:r>
      <w:hyperlink r:id="rId2" w:history="1">
        <w:r w:rsidRPr="00003D2E">
          <w:rPr>
            <w:rStyle w:val="Hyperlink"/>
            <w:lang w:val="en-US"/>
          </w:rPr>
          <w:t>http://www.ifrs.org/How+we+develop+Interpretations/How+we+develop+Interpretations.htm</w:t>
        </w:r>
      </w:hyperlink>
      <w:r>
        <w:rPr>
          <w:lang w:val="en-US"/>
        </w:rPr>
        <w:t xml:space="preserve"> </w:t>
      </w:r>
    </w:p>
  </w:footnote>
  <w:footnote w:id="10">
    <w:p w:rsidR="009A0204" w:rsidRPr="001302F4" w:rsidRDefault="009A0204" w:rsidP="00780824">
      <w:pPr>
        <w:pStyle w:val="Voetnoottekst"/>
        <w:rPr>
          <w:lang w:val="en-US"/>
        </w:rPr>
      </w:pPr>
      <w:r>
        <w:rPr>
          <w:rStyle w:val="Voetnootmarkering"/>
        </w:rPr>
        <w:footnoteRef/>
      </w:r>
      <w:r w:rsidRPr="00DF5613">
        <w:rPr>
          <w:lang w:val="en-US"/>
        </w:rPr>
        <w:t xml:space="preserve"> About the IFRS Foundation and the IASB, via: </w:t>
      </w:r>
      <w:hyperlink r:id="rId3" w:history="1">
        <w:r w:rsidRPr="00003D2E">
          <w:rPr>
            <w:rStyle w:val="Hyperlink"/>
            <w:lang w:val="en-US"/>
          </w:rPr>
          <w:t>http://www.ifrs.org/The+organisation/IASCF+and+IASB.htm</w:t>
        </w:r>
      </w:hyperlink>
      <w:r>
        <w:rPr>
          <w:lang w:val="en-US"/>
        </w:rPr>
        <w:t xml:space="preserve"> </w:t>
      </w:r>
      <w:r w:rsidRPr="001302F4">
        <w:rPr>
          <w:lang w:val="en-US"/>
        </w:rPr>
        <w:t xml:space="preserve"> </w:t>
      </w:r>
    </w:p>
  </w:footnote>
  <w:footnote w:id="11">
    <w:p w:rsidR="009A0204" w:rsidRPr="00DF5613" w:rsidRDefault="009A0204">
      <w:pPr>
        <w:pStyle w:val="Voetnoottekst"/>
      </w:pPr>
      <w:r>
        <w:rPr>
          <w:rStyle w:val="Voetnootmarkering"/>
        </w:rPr>
        <w:footnoteRef/>
      </w:r>
      <w:r w:rsidRPr="00DF5613">
        <w:t xml:space="preserve"> Hierbij kan gedacht worden aan nationale overheden, maar ook a</w:t>
      </w:r>
      <w:r>
        <w:t xml:space="preserve">an accountantskantoren en toezichthoudende instanties. </w:t>
      </w:r>
      <w:r w:rsidRPr="00DF5613">
        <w:t xml:space="preserve"> </w:t>
      </w:r>
    </w:p>
  </w:footnote>
  <w:footnote w:id="12">
    <w:p w:rsidR="009A0204" w:rsidRPr="007A1500" w:rsidRDefault="009A0204" w:rsidP="00780824">
      <w:pPr>
        <w:pStyle w:val="Voetnoottekst"/>
        <w:rPr>
          <w:lang w:val="en-US"/>
        </w:rPr>
      </w:pPr>
      <w:r>
        <w:rPr>
          <w:rStyle w:val="Voetnootmarkering"/>
        </w:rPr>
        <w:footnoteRef/>
      </w:r>
      <w:r w:rsidRPr="002934EB">
        <w:rPr>
          <w:lang w:val="en-US"/>
        </w:rPr>
        <w:t xml:space="preserve"> </w:t>
      </w:r>
      <w:r>
        <w:rPr>
          <w:lang w:val="en-US"/>
        </w:rPr>
        <w:t xml:space="preserve">About IFRS for SMEs, via </w:t>
      </w:r>
      <w:hyperlink r:id="rId4" w:history="1">
        <w:r w:rsidRPr="00003D2E">
          <w:rPr>
            <w:rStyle w:val="Hyperlink"/>
            <w:lang w:val="en-US"/>
          </w:rPr>
          <w:t>http://www.ifrs.org/IFRS+for+SMEs/IFRS+for+SMEs.htm</w:t>
        </w:r>
      </w:hyperlink>
      <w:r>
        <w:rPr>
          <w:lang w:val="en-US"/>
        </w:rPr>
        <w:t xml:space="preserve"> </w:t>
      </w:r>
    </w:p>
  </w:footnote>
  <w:footnote w:id="13">
    <w:p w:rsidR="009A0204" w:rsidRPr="000467E8" w:rsidRDefault="009A0204" w:rsidP="00780824">
      <w:pPr>
        <w:pStyle w:val="Voetnoottekst"/>
        <w:rPr>
          <w:lang w:val="en-US"/>
        </w:rPr>
      </w:pPr>
      <w:r>
        <w:rPr>
          <w:rStyle w:val="Voetnootmarkering"/>
        </w:rPr>
        <w:footnoteRef/>
      </w:r>
      <w:r w:rsidRPr="00CA5397">
        <w:rPr>
          <w:lang w:val="en-US"/>
        </w:rPr>
        <w:t xml:space="preserve"> IFRS for SME</w:t>
      </w:r>
      <w:r>
        <w:rPr>
          <w:lang w:val="en-US"/>
        </w:rPr>
        <w:t>s</w:t>
      </w:r>
      <w:r w:rsidRPr="00CA5397">
        <w:rPr>
          <w:lang w:val="en-US"/>
        </w:rPr>
        <w:t xml:space="preserve">, </w:t>
      </w:r>
      <w:r>
        <w:rPr>
          <w:lang w:val="en-US"/>
        </w:rPr>
        <w:t>p. 7</w:t>
      </w:r>
    </w:p>
  </w:footnote>
  <w:footnote w:id="14">
    <w:p w:rsidR="009A0204" w:rsidRPr="000467E8" w:rsidRDefault="009A0204" w:rsidP="00780824">
      <w:pPr>
        <w:pStyle w:val="Voetnoottekst"/>
        <w:rPr>
          <w:lang w:val="en-US"/>
        </w:rPr>
      </w:pPr>
      <w:r>
        <w:rPr>
          <w:rStyle w:val="Voetnootmarkering"/>
        </w:rPr>
        <w:footnoteRef/>
      </w:r>
      <w:r w:rsidRPr="00CA5397">
        <w:rPr>
          <w:lang w:val="en-US"/>
        </w:rPr>
        <w:t xml:space="preserve"> </w:t>
      </w:r>
      <w:r>
        <w:rPr>
          <w:lang w:val="en-US"/>
        </w:rPr>
        <w:t>IFRS for SMEs</w:t>
      </w:r>
      <w:r w:rsidRPr="00CA5397">
        <w:rPr>
          <w:lang w:val="en-US"/>
        </w:rPr>
        <w:t xml:space="preserve">, </w:t>
      </w:r>
      <w:r>
        <w:rPr>
          <w:lang w:val="en-US"/>
        </w:rPr>
        <w:t>p. 7</w:t>
      </w:r>
    </w:p>
  </w:footnote>
  <w:footnote w:id="15">
    <w:p w:rsidR="009A0204" w:rsidRPr="00CA5397" w:rsidRDefault="009A0204" w:rsidP="00780824">
      <w:pPr>
        <w:spacing w:line="360" w:lineRule="auto"/>
        <w:rPr>
          <w:lang w:val="en-US"/>
        </w:rPr>
      </w:pPr>
      <w:r>
        <w:rPr>
          <w:rStyle w:val="Voetnootmarkering"/>
        </w:rPr>
        <w:footnoteRef/>
      </w:r>
      <w:r w:rsidRPr="00CA5397">
        <w:rPr>
          <w:lang w:val="en-US"/>
        </w:rPr>
        <w:t xml:space="preserve"> </w:t>
      </w:r>
      <w:r w:rsidRPr="00CA5397">
        <w:rPr>
          <w:sz w:val="20"/>
          <w:szCs w:val="20"/>
          <w:lang w:val="en-US"/>
        </w:rPr>
        <w:t>Financial statements encyclopedia</w:t>
      </w:r>
      <w:r>
        <w:rPr>
          <w:sz w:val="20"/>
          <w:szCs w:val="20"/>
          <w:lang w:val="en-US"/>
        </w:rPr>
        <w:t xml:space="preserve">, via </w:t>
      </w:r>
      <w:hyperlink r:id="rId5" w:history="1">
        <w:r w:rsidRPr="00003D2E">
          <w:rPr>
            <w:rStyle w:val="Hyperlink"/>
            <w:sz w:val="20"/>
            <w:szCs w:val="20"/>
            <w:lang w:val="en-US"/>
          </w:rPr>
          <w:t>http://www.inc.com/encyclopedia/financial-statements.html</w:t>
        </w:r>
      </w:hyperlink>
      <w:r>
        <w:rPr>
          <w:sz w:val="20"/>
          <w:szCs w:val="20"/>
          <w:lang w:val="en-US"/>
        </w:rPr>
        <w:t xml:space="preserve"> </w:t>
      </w:r>
    </w:p>
  </w:footnote>
  <w:footnote w:id="16">
    <w:p w:rsidR="009A0204" w:rsidRPr="00E83297" w:rsidRDefault="009A0204" w:rsidP="00780824">
      <w:pPr>
        <w:pStyle w:val="Voetnoottekst"/>
      </w:pPr>
      <w:r>
        <w:rPr>
          <w:rStyle w:val="Voetnootmarkering"/>
        </w:rPr>
        <w:footnoteRef/>
      </w:r>
      <w:r w:rsidRPr="00E83297">
        <w:t xml:space="preserve"> </w:t>
      </w:r>
      <w:hyperlink r:id="rId6" w:history="1">
        <w:r w:rsidRPr="00E83297">
          <w:rPr>
            <w:rStyle w:val="Hyperlink"/>
          </w:rPr>
          <w:t>http://www.sba.gov/</w:t>
        </w:r>
      </w:hyperlink>
    </w:p>
  </w:footnote>
  <w:footnote w:id="17">
    <w:p w:rsidR="009A0204" w:rsidRPr="00E83297" w:rsidRDefault="009A0204" w:rsidP="00780824">
      <w:pPr>
        <w:pStyle w:val="Voetnoottekst"/>
      </w:pPr>
      <w:r>
        <w:rPr>
          <w:rStyle w:val="Voetnootmarkering"/>
        </w:rPr>
        <w:footnoteRef/>
      </w:r>
      <w:r w:rsidRPr="00E83297">
        <w:t xml:space="preserve"> EY Handboek p. 1132</w:t>
      </w:r>
    </w:p>
  </w:footnote>
  <w:footnote w:id="18">
    <w:p w:rsidR="009A0204" w:rsidRPr="000467E8" w:rsidRDefault="009A0204" w:rsidP="00780824">
      <w:pPr>
        <w:pStyle w:val="Voetnoottekst"/>
        <w:rPr>
          <w:lang w:val="en-US"/>
        </w:rPr>
      </w:pPr>
      <w:r>
        <w:rPr>
          <w:rStyle w:val="Voetnootmarkering"/>
        </w:rPr>
        <w:footnoteRef/>
      </w:r>
      <w:r w:rsidRPr="00CA5397">
        <w:rPr>
          <w:lang w:val="en-US"/>
        </w:rPr>
        <w:t xml:space="preserve"> IFRS for SME</w:t>
      </w:r>
      <w:r>
        <w:rPr>
          <w:lang w:val="en-US"/>
        </w:rPr>
        <w:t xml:space="preserve">s, </w:t>
      </w:r>
      <w:r w:rsidRPr="00CA5397">
        <w:rPr>
          <w:lang w:val="en-US"/>
        </w:rPr>
        <w:t>p. 7</w:t>
      </w:r>
    </w:p>
  </w:footnote>
  <w:footnote w:id="19">
    <w:p w:rsidR="009A0204" w:rsidRPr="00B0338A" w:rsidRDefault="009A0204" w:rsidP="00780824">
      <w:pPr>
        <w:pStyle w:val="Voetnoottekst"/>
        <w:rPr>
          <w:rFonts w:cstheme="minorHAnsi"/>
          <w:lang w:val="en-US"/>
        </w:rPr>
      </w:pPr>
      <w:r>
        <w:rPr>
          <w:rStyle w:val="Voetnootmarkering"/>
        </w:rPr>
        <w:footnoteRef/>
      </w:r>
      <w:r w:rsidRPr="001939D5">
        <w:rPr>
          <w:lang w:val="en-US"/>
        </w:rPr>
        <w:t xml:space="preserve"> </w:t>
      </w:r>
      <w:r>
        <w:rPr>
          <w:lang w:val="en-US"/>
        </w:rPr>
        <w:t>IFRS for SMEs Basis for Conclusions, BC 43-44</w:t>
      </w:r>
    </w:p>
  </w:footnote>
  <w:footnote w:id="20">
    <w:p w:rsidR="009A0204" w:rsidRPr="00E83297" w:rsidRDefault="009A0204" w:rsidP="00780824">
      <w:pPr>
        <w:pStyle w:val="Voetnoottekst"/>
      </w:pPr>
      <w:r>
        <w:rPr>
          <w:rStyle w:val="Voetnootmarkering"/>
        </w:rPr>
        <w:footnoteRef/>
      </w:r>
      <w:r w:rsidRPr="00E83297">
        <w:t xml:space="preserve"> Ibidem </w:t>
      </w:r>
    </w:p>
  </w:footnote>
  <w:footnote w:id="21">
    <w:p w:rsidR="009A0204" w:rsidRDefault="009A0204" w:rsidP="00780824">
      <w:pPr>
        <w:pStyle w:val="Voetnoottekst"/>
      </w:pPr>
      <w:r>
        <w:rPr>
          <w:rStyle w:val="Voetnootmarkering"/>
        </w:rPr>
        <w:footnoteRef/>
      </w:r>
      <w:r>
        <w:t xml:space="preserve"> Marcel de </w:t>
      </w:r>
      <w:proofErr w:type="spellStart"/>
      <w:r>
        <w:t>Kimpe</w:t>
      </w:r>
      <w:proofErr w:type="spellEnd"/>
      <w:r>
        <w:t xml:space="preserve"> en </w:t>
      </w:r>
      <w:proofErr w:type="spellStart"/>
      <w:r>
        <w:t>Dingeman</w:t>
      </w:r>
      <w:proofErr w:type="spellEnd"/>
      <w:r>
        <w:t xml:space="preserve"> Manschot : </w:t>
      </w:r>
      <w:r w:rsidRPr="00DF65D4">
        <w:t>IFRS SME toepasbaar in Nederland?</w:t>
      </w:r>
    </w:p>
  </w:footnote>
  <w:footnote w:id="22">
    <w:p w:rsidR="009A0204" w:rsidRPr="00C702AD" w:rsidRDefault="009A0204" w:rsidP="00780824">
      <w:pPr>
        <w:pStyle w:val="Voetnoottekst"/>
        <w:rPr>
          <w:lang w:val="en-US"/>
        </w:rPr>
      </w:pPr>
      <w:r>
        <w:rPr>
          <w:rStyle w:val="Voetnootmarkering"/>
        </w:rPr>
        <w:footnoteRef/>
      </w:r>
      <w:r w:rsidRPr="00C702AD">
        <w:rPr>
          <w:lang w:val="en-US"/>
        </w:rPr>
        <w:t xml:space="preserve"> SME standards set for adoption across the glob</w:t>
      </w:r>
      <w:r>
        <w:rPr>
          <w:lang w:val="en-US"/>
        </w:rPr>
        <w:t xml:space="preserve">e, via: </w:t>
      </w:r>
      <w:hyperlink r:id="rId7" w:history="1">
        <w:r w:rsidRPr="00003D2E">
          <w:rPr>
            <w:rStyle w:val="Hyperlink"/>
            <w:lang w:val="en-US"/>
          </w:rPr>
          <w:t>http://www.accountancyage.com/aa/news/1775891/sme-standards-set-adoption-globe</w:t>
        </w:r>
      </w:hyperlink>
      <w:r>
        <w:rPr>
          <w:lang w:val="en-US"/>
        </w:rPr>
        <w:t xml:space="preserve"> </w:t>
      </w:r>
    </w:p>
  </w:footnote>
  <w:footnote w:id="23">
    <w:p w:rsidR="009A0204" w:rsidRPr="00C702AD" w:rsidRDefault="009A0204" w:rsidP="00780824">
      <w:pPr>
        <w:pStyle w:val="Voetnoottekst"/>
        <w:rPr>
          <w:lang w:val="en-US"/>
        </w:rPr>
      </w:pPr>
      <w:r>
        <w:rPr>
          <w:rStyle w:val="Voetnootmarkering"/>
        </w:rPr>
        <w:footnoteRef/>
      </w:r>
      <w:r w:rsidRPr="00C702AD">
        <w:rPr>
          <w:lang w:val="en-US"/>
        </w:rPr>
        <w:t xml:space="preserve"> PwC. </w:t>
      </w:r>
      <w:r>
        <w:rPr>
          <w:lang w:val="en-US"/>
        </w:rPr>
        <w:t xml:space="preserve">IFRS adoption by country. </w:t>
      </w:r>
    </w:p>
  </w:footnote>
  <w:footnote w:id="24">
    <w:p w:rsidR="009A0204" w:rsidRDefault="009A0204" w:rsidP="00780824">
      <w:pPr>
        <w:pStyle w:val="Voetnoottekst"/>
      </w:pPr>
      <w:r>
        <w:rPr>
          <w:rStyle w:val="Voetnootmarkering"/>
        </w:rPr>
        <w:footnoteRef/>
      </w:r>
      <w:r>
        <w:t xml:space="preserve"> Minister Donner in zijn toespraak op de dag van de persvrijheid, via:  </w:t>
      </w:r>
      <w:hyperlink r:id="rId8" w:history="1">
        <w:r w:rsidRPr="00003D2E">
          <w:rPr>
            <w:rStyle w:val="Hyperlink"/>
          </w:rPr>
          <w:t>http://www.rijksoverheid.nl/regering/het-kabinet/bewindspersonen/piet-hein-donner/toespraken/2011/05/03/toespraak-op-de-dag-van-de-persvrijheid.html</w:t>
        </w:r>
      </w:hyperlink>
      <w:r>
        <w:t xml:space="preserve"> </w:t>
      </w:r>
    </w:p>
  </w:footnote>
  <w:footnote w:id="25">
    <w:p w:rsidR="009A0204" w:rsidRDefault="009A0204" w:rsidP="00780824">
      <w:pPr>
        <w:pStyle w:val="Voetnoottekst"/>
      </w:pPr>
      <w:r>
        <w:rPr>
          <w:rStyle w:val="Voetnootmarkering"/>
        </w:rPr>
        <w:footnoteRef/>
      </w:r>
      <w:r>
        <w:t xml:space="preserve"> Minister van Binnenlandse Zaken en Koninkrijksrelaties </w:t>
      </w:r>
    </w:p>
  </w:footnote>
  <w:footnote w:id="26">
    <w:p w:rsidR="009A0204" w:rsidRPr="008730AF" w:rsidRDefault="009A0204" w:rsidP="00780824">
      <w:pPr>
        <w:pStyle w:val="Voetnoottekst"/>
        <w:rPr>
          <w:lang w:val="en-US"/>
        </w:rPr>
      </w:pPr>
      <w:r>
        <w:rPr>
          <w:rStyle w:val="Voetnootmarkering"/>
        </w:rPr>
        <w:footnoteRef/>
      </w:r>
      <w:r w:rsidRPr="008730AF">
        <w:rPr>
          <w:lang w:val="en-US"/>
        </w:rPr>
        <w:t xml:space="preserve"> How </w:t>
      </w:r>
      <w:r>
        <w:rPr>
          <w:lang w:val="en-US"/>
        </w:rPr>
        <w:t xml:space="preserve">we develop IFRSs, via: </w:t>
      </w:r>
      <w:hyperlink r:id="rId9" w:history="1">
        <w:r w:rsidRPr="00003D2E">
          <w:rPr>
            <w:rStyle w:val="Hyperlink"/>
            <w:lang w:val="en-US"/>
          </w:rPr>
          <w:t>http://www.ifrs.org/How+we+develop+standards/How+we+develop+standards.htm</w:t>
        </w:r>
      </w:hyperlink>
      <w:r>
        <w:rPr>
          <w:lang w:val="en-US"/>
        </w:rPr>
        <w:t xml:space="preserve"> </w:t>
      </w:r>
    </w:p>
  </w:footnote>
  <w:footnote w:id="27">
    <w:p w:rsidR="009A0204" w:rsidRPr="00420B52" w:rsidRDefault="009A0204" w:rsidP="00780824">
      <w:pPr>
        <w:pStyle w:val="Voetnoottekst"/>
        <w:rPr>
          <w:lang w:val="en-US"/>
        </w:rPr>
      </w:pPr>
      <w:r>
        <w:rPr>
          <w:rStyle w:val="Voetnootmarkering"/>
        </w:rPr>
        <w:footnoteRef/>
      </w:r>
      <w:r w:rsidRPr="00420B52">
        <w:rPr>
          <w:lang w:val="en-US"/>
        </w:rPr>
        <w:t xml:space="preserve"> Se</w:t>
      </w:r>
      <w:r>
        <w:rPr>
          <w:lang w:val="en-US"/>
        </w:rPr>
        <w:t xml:space="preserve">tting the agenda, via: </w:t>
      </w:r>
      <w:hyperlink r:id="rId10" w:history="1">
        <w:r w:rsidRPr="00003D2E">
          <w:rPr>
            <w:rStyle w:val="Hyperlink"/>
            <w:lang w:val="en-US"/>
          </w:rPr>
          <w:t>http://www.ifrs.org/How+we+develop+standards/How+we+develop+standards.htm</w:t>
        </w:r>
      </w:hyperlink>
    </w:p>
  </w:footnote>
  <w:footnote w:id="28">
    <w:p w:rsidR="009A0204" w:rsidRPr="00E83297" w:rsidRDefault="009A0204" w:rsidP="00780824">
      <w:pPr>
        <w:pStyle w:val="Voetnoottekst"/>
        <w:rPr>
          <w:lang w:val="en-US"/>
        </w:rPr>
      </w:pPr>
      <w:r>
        <w:rPr>
          <w:rStyle w:val="Voetnootmarkering"/>
        </w:rPr>
        <w:footnoteRef/>
      </w:r>
      <w:r w:rsidRPr="00E83297">
        <w:rPr>
          <w:lang w:val="en-US"/>
        </w:rPr>
        <w:t xml:space="preserve"> </w:t>
      </w:r>
      <w:proofErr w:type="spellStart"/>
      <w:r w:rsidRPr="00E83297">
        <w:rPr>
          <w:lang w:val="en-US"/>
        </w:rPr>
        <w:t>Ibidem</w:t>
      </w:r>
      <w:proofErr w:type="spellEnd"/>
      <w:r w:rsidRPr="00E83297">
        <w:rPr>
          <w:lang w:val="en-US"/>
        </w:rPr>
        <w:t xml:space="preserve">, Project planning, </w:t>
      </w:r>
    </w:p>
  </w:footnote>
  <w:footnote w:id="29">
    <w:p w:rsidR="009A0204" w:rsidRPr="00420B52" w:rsidRDefault="009A0204" w:rsidP="00780824">
      <w:pPr>
        <w:pStyle w:val="Voetnoottekst"/>
        <w:rPr>
          <w:lang w:val="en-US"/>
        </w:rPr>
      </w:pPr>
      <w:r>
        <w:rPr>
          <w:rStyle w:val="Voetnootmarkering"/>
        </w:rPr>
        <w:footnoteRef/>
      </w:r>
      <w:r w:rsidRPr="00420B52">
        <w:rPr>
          <w:lang w:val="en-US"/>
        </w:rPr>
        <w:t xml:space="preserve"> </w:t>
      </w:r>
      <w:proofErr w:type="spellStart"/>
      <w:r w:rsidRPr="00420B52">
        <w:rPr>
          <w:lang w:val="en-US"/>
        </w:rPr>
        <w:t>Ibidem</w:t>
      </w:r>
      <w:proofErr w:type="spellEnd"/>
      <w:r w:rsidRPr="00420B52">
        <w:rPr>
          <w:lang w:val="en-US"/>
        </w:rPr>
        <w:t xml:space="preserve">, </w:t>
      </w:r>
      <w:r>
        <w:rPr>
          <w:lang w:val="en-US"/>
        </w:rPr>
        <w:t xml:space="preserve">Development and publication </w:t>
      </w:r>
    </w:p>
  </w:footnote>
  <w:footnote w:id="30">
    <w:p w:rsidR="009A0204" w:rsidRPr="00420B52" w:rsidRDefault="009A0204" w:rsidP="00780824">
      <w:pPr>
        <w:pStyle w:val="Voetnoottekst"/>
        <w:rPr>
          <w:lang w:val="en-US"/>
        </w:rPr>
      </w:pPr>
      <w:r>
        <w:rPr>
          <w:rStyle w:val="Voetnootmarkering"/>
        </w:rPr>
        <w:footnoteRef/>
      </w:r>
      <w:r w:rsidRPr="00420B52">
        <w:rPr>
          <w:lang w:val="en-US"/>
        </w:rPr>
        <w:t xml:space="preserve"> </w:t>
      </w:r>
      <w:proofErr w:type="spellStart"/>
      <w:r>
        <w:rPr>
          <w:lang w:val="en-US"/>
        </w:rPr>
        <w:t>Ibidem</w:t>
      </w:r>
      <w:proofErr w:type="spellEnd"/>
      <w:r>
        <w:rPr>
          <w:lang w:val="en-US"/>
        </w:rPr>
        <w:t xml:space="preserve">, development and publication of an exposure draft </w:t>
      </w:r>
    </w:p>
  </w:footnote>
  <w:footnote w:id="31">
    <w:p w:rsidR="009A0204" w:rsidRPr="00E83297" w:rsidRDefault="009A0204" w:rsidP="00780824">
      <w:pPr>
        <w:pStyle w:val="Voetnoottekst"/>
        <w:rPr>
          <w:lang w:val="en-US"/>
        </w:rPr>
      </w:pPr>
      <w:r>
        <w:rPr>
          <w:rStyle w:val="Voetnootmarkering"/>
        </w:rPr>
        <w:footnoteRef/>
      </w:r>
      <w:r w:rsidRPr="00420B52">
        <w:rPr>
          <w:lang w:val="en-US"/>
        </w:rPr>
        <w:t xml:space="preserve"> Development and publication of an IFRS, via: </w:t>
      </w:r>
      <w:hyperlink r:id="rId11" w:history="1">
        <w:r w:rsidRPr="00003D2E">
          <w:rPr>
            <w:rStyle w:val="Hyperlink"/>
            <w:lang w:val="en-US"/>
          </w:rPr>
          <w:t>http://www.ifrs.org/How+we+develop+standards/How+we+develop+standards.htm</w:t>
        </w:r>
      </w:hyperlink>
      <w:r w:rsidRPr="00420B52">
        <w:rPr>
          <w:lang w:val="en-US"/>
        </w:rPr>
        <w:t xml:space="preserve"> </w:t>
      </w:r>
    </w:p>
  </w:footnote>
  <w:footnote w:id="32">
    <w:p w:rsidR="009A0204" w:rsidRPr="00420B52" w:rsidRDefault="009A0204" w:rsidP="00780824">
      <w:pPr>
        <w:pStyle w:val="Voetnoottekst"/>
        <w:rPr>
          <w:lang w:val="en-US"/>
        </w:rPr>
      </w:pPr>
      <w:r>
        <w:rPr>
          <w:rStyle w:val="Voetnootmarkering"/>
        </w:rPr>
        <w:footnoteRef/>
      </w:r>
      <w:r w:rsidRPr="00420B52">
        <w:rPr>
          <w:lang w:val="en-US"/>
        </w:rPr>
        <w:t xml:space="preserve"> </w:t>
      </w:r>
      <w:proofErr w:type="spellStart"/>
      <w:r w:rsidRPr="00420B52">
        <w:rPr>
          <w:lang w:val="en-US"/>
        </w:rPr>
        <w:t>Ibidem</w:t>
      </w:r>
      <w:proofErr w:type="spellEnd"/>
      <w:r w:rsidRPr="00420B52">
        <w:rPr>
          <w:lang w:val="en-US"/>
        </w:rPr>
        <w:t>, P</w:t>
      </w:r>
      <w:r>
        <w:rPr>
          <w:lang w:val="en-US"/>
        </w:rPr>
        <w:t xml:space="preserve">rocedures after an IFRS is issued. </w:t>
      </w:r>
    </w:p>
  </w:footnote>
  <w:footnote w:id="33">
    <w:p w:rsidR="009A0204" w:rsidRPr="00811883" w:rsidRDefault="009A0204" w:rsidP="00780824">
      <w:pPr>
        <w:pStyle w:val="Voetnoottekst"/>
        <w:rPr>
          <w:lang w:val="en-US"/>
        </w:rPr>
      </w:pPr>
      <w:r>
        <w:rPr>
          <w:rStyle w:val="Voetnootmarkering"/>
        </w:rPr>
        <w:footnoteRef/>
      </w:r>
      <w:r w:rsidRPr="00811883">
        <w:rPr>
          <w:lang w:val="en-US"/>
        </w:rPr>
        <w:t xml:space="preserve"> Work plan for IFRS SME</w:t>
      </w:r>
      <w:r>
        <w:rPr>
          <w:lang w:val="en-US"/>
        </w:rPr>
        <w:t>s, via</w:t>
      </w:r>
      <w:r w:rsidRPr="00811883">
        <w:rPr>
          <w:lang w:val="en-US"/>
        </w:rPr>
        <w:t xml:space="preserve">: </w:t>
      </w:r>
      <w:hyperlink r:id="rId12" w:history="1">
        <w:r w:rsidRPr="00003D2E">
          <w:rPr>
            <w:rStyle w:val="Hyperlink"/>
            <w:lang w:val="en-US"/>
          </w:rPr>
          <w:t>http://www.ifrs.org/Current+Projects/IASB+Projects/Small+and+Medium-sized+Entities/Small+and+Medium-sized+Entities.htm</w:t>
        </w:r>
      </w:hyperlink>
      <w:r>
        <w:rPr>
          <w:lang w:val="en-US"/>
        </w:rPr>
        <w:t xml:space="preserve"> </w:t>
      </w:r>
    </w:p>
  </w:footnote>
  <w:footnote w:id="34">
    <w:p w:rsidR="009A0204" w:rsidRPr="00811883" w:rsidRDefault="009A0204" w:rsidP="00780824">
      <w:pPr>
        <w:pStyle w:val="Voetnoottekst"/>
        <w:rPr>
          <w:lang w:val="en-US"/>
        </w:rPr>
      </w:pPr>
      <w:r>
        <w:rPr>
          <w:rStyle w:val="Voetnootmarkering"/>
        </w:rPr>
        <w:footnoteRef/>
      </w:r>
      <w:r w:rsidRPr="00811883">
        <w:rPr>
          <w:lang w:val="en-US"/>
        </w:rPr>
        <w:t xml:space="preserve"> IFRS SME Project Report, p. </w:t>
      </w:r>
      <w:r>
        <w:rPr>
          <w:lang w:val="en-US"/>
        </w:rPr>
        <w:t>2-3</w:t>
      </w:r>
    </w:p>
  </w:footnote>
  <w:footnote w:id="35">
    <w:p w:rsidR="009A0204" w:rsidRPr="0052062C" w:rsidRDefault="009A0204" w:rsidP="00780824">
      <w:pPr>
        <w:pStyle w:val="Voetnoottekst"/>
      </w:pPr>
      <w:r w:rsidRPr="0052062C">
        <w:rPr>
          <w:rStyle w:val="Voetnootmarkering"/>
        </w:rPr>
        <w:footnoteRef/>
      </w:r>
      <w:r w:rsidRPr="0052062C">
        <w:t xml:space="preserve"> Voor een omschrijving van het begrip</w:t>
      </w:r>
      <w:r>
        <w:t xml:space="preserve"> public </w:t>
      </w:r>
      <w:proofErr w:type="spellStart"/>
      <w:r>
        <w:t>accountability</w:t>
      </w:r>
      <w:proofErr w:type="spellEnd"/>
      <w:r>
        <w:t xml:space="preserve">, zie </w:t>
      </w:r>
      <w:r>
        <w:rPr>
          <w:rStyle w:val="st"/>
        </w:rPr>
        <w:t xml:space="preserve">§2.4 </w:t>
      </w:r>
    </w:p>
  </w:footnote>
  <w:footnote w:id="36">
    <w:p w:rsidR="009A0204" w:rsidRPr="004C09CE" w:rsidRDefault="009A0204" w:rsidP="00780824">
      <w:pPr>
        <w:pStyle w:val="Voetnoottekst"/>
      </w:pPr>
      <w:r>
        <w:rPr>
          <w:rStyle w:val="Voetnootmarkering"/>
        </w:rPr>
        <w:footnoteRef/>
      </w:r>
      <w:r w:rsidRPr="004C09CE">
        <w:t>Ook de kredietwaardigheid van landen wordt beoordeeld, wat zich uit in een rating voor staatsobligaties.</w:t>
      </w:r>
      <w:r>
        <w:t xml:space="preserve"> </w:t>
      </w:r>
      <w:r w:rsidRPr="004C09CE">
        <w:t xml:space="preserve">Bekende kredietbeoordelaars zijn Standard &amp; </w:t>
      </w:r>
      <w:proofErr w:type="spellStart"/>
      <w:r w:rsidRPr="004C09CE">
        <w:t>Poor’s</w:t>
      </w:r>
      <w:proofErr w:type="spellEnd"/>
      <w:r w:rsidRPr="004C09CE">
        <w:t xml:space="preserve"> en </w:t>
      </w:r>
      <w:proofErr w:type="spellStart"/>
      <w:r w:rsidRPr="004C09CE">
        <w:t>Moody’s</w:t>
      </w:r>
      <w:proofErr w:type="spellEnd"/>
      <w:r w:rsidRPr="004C09CE">
        <w:t xml:space="preserve">. Ratings lopen uiteen van een zeer laag risico (AAA of </w:t>
      </w:r>
      <w:proofErr w:type="spellStart"/>
      <w:r w:rsidRPr="004C09CE">
        <w:t>Aaa</w:t>
      </w:r>
      <w:proofErr w:type="spellEnd"/>
      <w:r w:rsidRPr="004C09CE">
        <w:t>) tot een zeer hoog risico (C of D) dat neerkomt op een onderneming die gestopt is met het nakomen van haar verplichtingen. Tussen de uiterste gevallen bevinden zich meerdere andere ratings, waarbij het risico steeds verder toeneemt van AAA/</w:t>
      </w:r>
      <w:proofErr w:type="spellStart"/>
      <w:r w:rsidRPr="004C09CE">
        <w:t>Aaa</w:t>
      </w:r>
      <w:proofErr w:type="spellEnd"/>
      <w:r w:rsidRPr="004C09CE">
        <w:t xml:space="preserve"> tot C/D. (</w:t>
      </w:r>
      <w:hyperlink r:id="rId13" w:history="1">
        <w:r w:rsidRPr="00003D2E">
          <w:rPr>
            <w:rStyle w:val="Hyperlink"/>
          </w:rPr>
          <w:t>http://standardandpoors.com</w:t>
        </w:r>
      </w:hyperlink>
      <w:r w:rsidRPr="004C09CE">
        <w:t xml:space="preserve"> en </w:t>
      </w:r>
      <w:hyperlink r:id="rId14" w:history="1">
        <w:r w:rsidRPr="004C09CE">
          <w:rPr>
            <w:rStyle w:val="Hyperlink"/>
          </w:rPr>
          <w:t>http://moodys.com</w:t>
        </w:r>
      </w:hyperlink>
      <w:r w:rsidRPr="004C09CE">
        <w:t>)</w:t>
      </w:r>
    </w:p>
  </w:footnote>
  <w:footnote w:id="37">
    <w:p w:rsidR="009A0204" w:rsidRPr="00811883" w:rsidRDefault="009A0204" w:rsidP="00780824">
      <w:pPr>
        <w:pStyle w:val="Voetnoottekst"/>
        <w:rPr>
          <w:lang w:val="en-US"/>
        </w:rPr>
      </w:pPr>
      <w:r>
        <w:rPr>
          <w:rStyle w:val="Voetnootmarkering"/>
        </w:rPr>
        <w:footnoteRef/>
      </w:r>
      <w:r w:rsidRPr="00811883">
        <w:rPr>
          <w:lang w:val="en-US"/>
        </w:rPr>
        <w:t xml:space="preserve"> IFRS SME Project Report, p. </w:t>
      </w:r>
      <w:r>
        <w:rPr>
          <w:lang w:val="en-US"/>
        </w:rPr>
        <w:t>4</w:t>
      </w:r>
    </w:p>
  </w:footnote>
  <w:footnote w:id="38">
    <w:p w:rsidR="009A0204" w:rsidRPr="00811883" w:rsidRDefault="009A0204" w:rsidP="00780824">
      <w:pPr>
        <w:pStyle w:val="Voetnoottekst"/>
        <w:rPr>
          <w:lang w:val="en-US"/>
        </w:rPr>
      </w:pPr>
      <w:r>
        <w:rPr>
          <w:rStyle w:val="Voetnootmarkering"/>
        </w:rPr>
        <w:footnoteRef/>
      </w:r>
      <w:r w:rsidRPr="00811883">
        <w:rPr>
          <w:lang w:val="en-US"/>
        </w:rPr>
        <w:t xml:space="preserve"> </w:t>
      </w:r>
      <w:proofErr w:type="spellStart"/>
      <w:r>
        <w:rPr>
          <w:lang w:val="en-US"/>
        </w:rPr>
        <w:t>Ibidem</w:t>
      </w:r>
      <w:proofErr w:type="spellEnd"/>
      <w:r>
        <w:rPr>
          <w:lang w:val="en-US"/>
        </w:rPr>
        <w:t>, p. 4-6</w:t>
      </w:r>
    </w:p>
  </w:footnote>
  <w:footnote w:id="39">
    <w:p w:rsidR="009A0204" w:rsidRPr="00811883" w:rsidRDefault="009A0204" w:rsidP="00780824">
      <w:pPr>
        <w:pStyle w:val="Voetnoottekst"/>
        <w:rPr>
          <w:lang w:val="en-US"/>
        </w:rPr>
      </w:pPr>
      <w:r>
        <w:rPr>
          <w:rStyle w:val="Voetnootmarkering"/>
        </w:rPr>
        <w:footnoteRef/>
      </w:r>
      <w:r w:rsidRPr="00811883">
        <w:rPr>
          <w:lang w:val="en-US"/>
        </w:rPr>
        <w:t xml:space="preserve"> </w:t>
      </w:r>
      <w:r>
        <w:rPr>
          <w:lang w:val="en-US"/>
        </w:rPr>
        <w:t xml:space="preserve">Discussion paper: </w:t>
      </w:r>
      <w:r w:rsidRPr="00811883">
        <w:rPr>
          <w:lang w:val="en-US"/>
        </w:rPr>
        <w:t>Preliminary Views on Accounting Standards</w:t>
      </w:r>
      <w:r>
        <w:rPr>
          <w:lang w:val="en-US"/>
        </w:rPr>
        <w:t xml:space="preserve"> </w:t>
      </w:r>
      <w:r w:rsidRPr="00811883">
        <w:rPr>
          <w:lang w:val="en-US"/>
        </w:rPr>
        <w:t>for Small and Medium-sized Entities</w:t>
      </w:r>
    </w:p>
  </w:footnote>
  <w:footnote w:id="40">
    <w:p w:rsidR="009A0204" w:rsidRPr="004F5E3D" w:rsidRDefault="009A0204" w:rsidP="00780824">
      <w:pPr>
        <w:pStyle w:val="Voetnoottekst"/>
        <w:rPr>
          <w:lang w:val="en-US"/>
        </w:rPr>
      </w:pPr>
      <w:r>
        <w:rPr>
          <w:rStyle w:val="Voetnootmarkering"/>
        </w:rPr>
        <w:footnoteRef/>
      </w:r>
      <w:r w:rsidRPr="004F5E3D">
        <w:rPr>
          <w:lang w:val="en-US"/>
        </w:rPr>
        <w:t xml:space="preserve"> </w:t>
      </w:r>
      <w:r>
        <w:rPr>
          <w:lang w:val="en-US"/>
        </w:rPr>
        <w:t>IFRS SME Project Report, p. 5</w:t>
      </w:r>
    </w:p>
  </w:footnote>
  <w:footnote w:id="41">
    <w:p w:rsidR="009A0204" w:rsidRPr="004F5E3D" w:rsidRDefault="009A0204" w:rsidP="00780824">
      <w:pPr>
        <w:pStyle w:val="Voetnoottekst"/>
        <w:rPr>
          <w:lang w:val="en-US"/>
        </w:rPr>
      </w:pPr>
      <w:r>
        <w:rPr>
          <w:rStyle w:val="Voetnootmarkering"/>
        </w:rPr>
        <w:footnoteRef/>
      </w:r>
      <w:r w:rsidRPr="004F5E3D">
        <w:rPr>
          <w:lang w:val="en-US"/>
        </w:rPr>
        <w:t xml:space="preserve"> </w:t>
      </w:r>
      <w:r>
        <w:rPr>
          <w:lang w:val="en-US"/>
        </w:rPr>
        <w:t>IFRS SME Project Report, p. 5</w:t>
      </w:r>
    </w:p>
  </w:footnote>
  <w:footnote w:id="42">
    <w:p w:rsidR="009A0204" w:rsidRPr="00811883" w:rsidRDefault="009A0204" w:rsidP="00780824">
      <w:pPr>
        <w:pStyle w:val="Voetnoottekst"/>
        <w:rPr>
          <w:lang w:val="en-US"/>
        </w:rPr>
      </w:pPr>
      <w:r>
        <w:rPr>
          <w:rStyle w:val="Voetnootmarkering"/>
        </w:rPr>
        <w:footnoteRef/>
      </w:r>
      <w:r w:rsidRPr="00811883">
        <w:rPr>
          <w:lang w:val="en-US"/>
        </w:rPr>
        <w:t xml:space="preserve"> </w:t>
      </w:r>
      <w:proofErr w:type="spellStart"/>
      <w:r>
        <w:rPr>
          <w:lang w:val="en-US"/>
        </w:rPr>
        <w:t>Ibidem</w:t>
      </w:r>
      <w:proofErr w:type="spellEnd"/>
      <w:r>
        <w:rPr>
          <w:lang w:val="en-US"/>
        </w:rPr>
        <w:t>, p. 7-11</w:t>
      </w:r>
    </w:p>
  </w:footnote>
  <w:footnote w:id="43">
    <w:p w:rsidR="009A0204" w:rsidRPr="00811883" w:rsidRDefault="009A0204" w:rsidP="00780824">
      <w:pPr>
        <w:pStyle w:val="Voetnoottekst"/>
        <w:rPr>
          <w:lang w:val="en-US"/>
        </w:rPr>
      </w:pPr>
      <w:r>
        <w:rPr>
          <w:rStyle w:val="Voetnootmarkering"/>
        </w:rPr>
        <w:footnoteRef/>
      </w:r>
      <w:r w:rsidRPr="00811883">
        <w:rPr>
          <w:lang w:val="en-US"/>
        </w:rPr>
        <w:t xml:space="preserve"> Exposure Draft of a Proposed IFRS for Small and Medium-sized Entities</w:t>
      </w:r>
    </w:p>
  </w:footnote>
  <w:footnote w:id="44">
    <w:p w:rsidR="009A0204" w:rsidRDefault="009A0204" w:rsidP="00780824">
      <w:pPr>
        <w:pStyle w:val="Voetnoottekst"/>
      </w:pPr>
      <w:r>
        <w:rPr>
          <w:rStyle w:val="Voetnootmarkering"/>
        </w:rPr>
        <w:footnoteRef/>
      </w:r>
      <w:r>
        <w:t xml:space="preserve"> Voor een overzicht van alle </w:t>
      </w:r>
      <w:proofErr w:type="spellStart"/>
      <w:r>
        <w:t>Comment</w:t>
      </w:r>
      <w:proofErr w:type="spellEnd"/>
      <w:r>
        <w:t xml:space="preserve"> Letters op de </w:t>
      </w:r>
      <w:proofErr w:type="spellStart"/>
      <w:r>
        <w:t>Exposure</w:t>
      </w:r>
      <w:proofErr w:type="spellEnd"/>
      <w:r>
        <w:t xml:space="preserve"> </w:t>
      </w:r>
      <w:proofErr w:type="spellStart"/>
      <w:r>
        <w:t>Draft</w:t>
      </w:r>
      <w:proofErr w:type="spellEnd"/>
      <w:r>
        <w:t xml:space="preserve">: </w:t>
      </w:r>
      <w:hyperlink r:id="rId15" w:history="1">
        <w:r w:rsidRPr="00003D2E">
          <w:rPr>
            <w:rStyle w:val="Hyperlink"/>
          </w:rPr>
          <w:t>http://www.ifrs.org/Current+Projects/IASB+Projects/Small+and+Medium-sized+Entities/Exposure+Drafts+and+Comment+Letters/Comment+Letters/Comment+Letters.htm</w:t>
        </w:r>
      </w:hyperlink>
      <w:r>
        <w:t xml:space="preserve"> </w:t>
      </w:r>
    </w:p>
  </w:footnote>
  <w:footnote w:id="45">
    <w:p w:rsidR="009A0204" w:rsidRPr="00811883" w:rsidRDefault="009A0204" w:rsidP="00780824">
      <w:pPr>
        <w:pStyle w:val="Voetnoottekst"/>
        <w:rPr>
          <w:lang w:val="en-US"/>
        </w:rPr>
      </w:pPr>
      <w:r>
        <w:rPr>
          <w:rStyle w:val="Voetnootmarkering"/>
        </w:rPr>
        <w:footnoteRef/>
      </w:r>
      <w:r w:rsidRPr="00811883">
        <w:rPr>
          <w:lang w:val="en-US"/>
        </w:rPr>
        <w:t xml:space="preserve"> </w:t>
      </w:r>
      <w:r>
        <w:rPr>
          <w:lang w:val="en-US"/>
        </w:rPr>
        <w:t>IFRS SME Project Report, p. 11</w:t>
      </w:r>
    </w:p>
  </w:footnote>
  <w:footnote w:id="46">
    <w:p w:rsidR="009A0204" w:rsidRPr="00811883" w:rsidRDefault="009A0204" w:rsidP="00780824">
      <w:pPr>
        <w:pStyle w:val="Voetnoottekst"/>
        <w:rPr>
          <w:lang w:val="en-US"/>
        </w:rPr>
      </w:pPr>
      <w:r>
        <w:rPr>
          <w:rStyle w:val="Voetnootmarkering"/>
        </w:rPr>
        <w:footnoteRef/>
      </w:r>
      <w:r w:rsidRPr="00811883">
        <w:rPr>
          <w:lang w:val="en-US"/>
        </w:rPr>
        <w:t xml:space="preserve"> </w:t>
      </w:r>
      <w:proofErr w:type="spellStart"/>
      <w:r>
        <w:rPr>
          <w:lang w:val="en-US"/>
        </w:rPr>
        <w:t>Ibidem</w:t>
      </w:r>
      <w:proofErr w:type="spellEnd"/>
      <w:r>
        <w:rPr>
          <w:lang w:val="en-US"/>
        </w:rPr>
        <w:t>, p. 12-24</w:t>
      </w:r>
    </w:p>
  </w:footnote>
  <w:footnote w:id="47">
    <w:p w:rsidR="009A0204" w:rsidRPr="00811883" w:rsidRDefault="009A0204" w:rsidP="00780824">
      <w:pPr>
        <w:pStyle w:val="Voetnoottekst"/>
        <w:rPr>
          <w:lang w:val="en-US"/>
        </w:rPr>
      </w:pPr>
      <w:r>
        <w:rPr>
          <w:rStyle w:val="Voetnootmarkering"/>
        </w:rPr>
        <w:footnoteRef/>
      </w:r>
      <w:r>
        <w:rPr>
          <w:lang w:val="en-US"/>
        </w:rPr>
        <w:t xml:space="preserve"> </w:t>
      </w:r>
      <w:r w:rsidRPr="00C702AD">
        <w:rPr>
          <w:lang w:val="en-US"/>
        </w:rPr>
        <w:t>SME standards set for adoption across the glob</w:t>
      </w:r>
      <w:r>
        <w:rPr>
          <w:lang w:val="en-US"/>
        </w:rPr>
        <w:t xml:space="preserve">e, via: </w:t>
      </w:r>
      <w:hyperlink r:id="rId16" w:history="1">
        <w:r w:rsidRPr="00003D2E">
          <w:rPr>
            <w:rStyle w:val="Hyperlink"/>
            <w:lang w:val="en-US"/>
          </w:rPr>
          <w:t>http://www.accountancyage.com/aa/news/1775891/sme-standards-set-adoption-globe</w:t>
        </w:r>
      </w:hyperlink>
    </w:p>
  </w:footnote>
  <w:footnote w:id="48">
    <w:p w:rsidR="004126BC" w:rsidRDefault="004126BC">
      <w:pPr>
        <w:pStyle w:val="Voetnoottekst"/>
      </w:pPr>
      <w:r>
        <w:rPr>
          <w:rStyle w:val="Voetnootmarkering"/>
        </w:rPr>
        <w:footnoteRef/>
      </w:r>
      <w:r>
        <w:t xml:space="preserve"> Ernst &amp; Young. Vergelijking IFRS SME met IFRS &amp; Vergelijking IFRS SME met Nederlandse wet- en regelgeving.</w:t>
      </w:r>
    </w:p>
  </w:footnote>
  <w:footnote w:id="49">
    <w:p w:rsidR="009A0204" w:rsidRDefault="009A0204" w:rsidP="00780824">
      <w:pPr>
        <w:pStyle w:val="Voetnoottekst"/>
      </w:pPr>
      <w:r>
        <w:rPr>
          <w:rStyle w:val="Voetnootmarkering"/>
        </w:rPr>
        <w:footnoteRef/>
      </w:r>
      <w:r>
        <w:t xml:space="preserve"> EY Handboek, p. 54</w:t>
      </w:r>
    </w:p>
  </w:footnote>
  <w:footnote w:id="50">
    <w:p w:rsidR="009A0204" w:rsidRDefault="009A0204" w:rsidP="00780824">
      <w:pPr>
        <w:pStyle w:val="Voetnoottekst"/>
      </w:pPr>
      <w:r>
        <w:rPr>
          <w:rStyle w:val="Voetnootmarkering"/>
        </w:rPr>
        <w:footnoteRef/>
      </w:r>
      <w:r>
        <w:t xml:space="preserve"> Ibidem, p. 56</w:t>
      </w:r>
    </w:p>
  </w:footnote>
  <w:footnote w:id="51">
    <w:p w:rsidR="009A0204" w:rsidRDefault="009A0204" w:rsidP="00780824">
      <w:pPr>
        <w:pStyle w:val="Voetnoottekst"/>
      </w:pPr>
      <w:r>
        <w:rPr>
          <w:rStyle w:val="Voetnootmarkering"/>
        </w:rPr>
        <w:footnoteRef/>
      </w:r>
      <w:r>
        <w:t xml:space="preserve"> Verder: </w:t>
      </w:r>
      <w:proofErr w:type="spellStart"/>
      <w:r>
        <w:t>NV’s</w:t>
      </w:r>
      <w:proofErr w:type="spellEnd"/>
    </w:p>
  </w:footnote>
  <w:footnote w:id="52">
    <w:p w:rsidR="009A0204" w:rsidRDefault="009A0204" w:rsidP="00780824">
      <w:pPr>
        <w:pStyle w:val="Voetnoottekst"/>
      </w:pPr>
      <w:r>
        <w:rPr>
          <w:rStyle w:val="Voetnootmarkering"/>
        </w:rPr>
        <w:footnoteRef/>
      </w:r>
      <w:r>
        <w:t xml:space="preserve"> Verder: BV’s </w:t>
      </w:r>
    </w:p>
  </w:footnote>
  <w:footnote w:id="53">
    <w:p w:rsidR="009A0204" w:rsidRDefault="009A0204" w:rsidP="00780824">
      <w:pPr>
        <w:pStyle w:val="Voetnoottekst"/>
      </w:pPr>
      <w:r>
        <w:rPr>
          <w:rStyle w:val="Voetnootmarkering"/>
        </w:rPr>
        <w:footnoteRef/>
      </w:r>
      <w:r>
        <w:t xml:space="preserve"> EY Handboek, p. 104</w:t>
      </w:r>
    </w:p>
  </w:footnote>
  <w:footnote w:id="54">
    <w:p w:rsidR="009A0204" w:rsidRDefault="009A0204" w:rsidP="00780824">
      <w:pPr>
        <w:pStyle w:val="Voetnoottekst"/>
      </w:pPr>
      <w:r>
        <w:rPr>
          <w:rStyle w:val="Voetnootmarkering"/>
        </w:rPr>
        <w:footnoteRef/>
      </w:r>
      <w:r>
        <w:t xml:space="preserve"> Ibidem, p. 99</w:t>
      </w:r>
    </w:p>
  </w:footnote>
  <w:footnote w:id="55">
    <w:p w:rsidR="009A0204" w:rsidRDefault="009A0204" w:rsidP="00780824">
      <w:pPr>
        <w:pStyle w:val="Voetnoottekst"/>
      </w:pPr>
      <w:r>
        <w:rPr>
          <w:rStyle w:val="Voetnootmarkering"/>
        </w:rPr>
        <w:footnoteRef/>
      </w:r>
      <w:r>
        <w:t xml:space="preserve"> Ibidem, p. 103</w:t>
      </w:r>
    </w:p>
  </w:footnote>
  <w:footnote w:id="56">
    <w:p w:rsidR="009A0204" w:rsidRDefault="009A0204" w:rsidP="00780824">
      <w:pPr>
        <w:pStyle w:val="Voetnoottekst"/>
      </w:pPr>
      <w:r>
        <w:rPr>
          <w:rStyle w:val="Voetnootmarkering"/>
        </w:rPr>
        <w:footnoteRef/>
      </w:r>
      <w:r>
        <w:t xml:space="preserve"> IFRS SME 18.27 en IAS 38.119</w:t>
      </w:r>
    </w:p>
  </w:footnote>
  <w:footnote w:id="57">
    <w:p w:rsidR="009A0204" w:rsidRDefault="009A0204" w:rsidP="00780824">
      <w:pPr>
        <w:pStyle w:val="Voetnoottekst"/>
      </w:pPr>
      <w:r>
        <w:rPr>
          <w:rStyle w:val="Voetnootmarkering"/>
        </w:rPr>
        <w:footnoteRef/>
      </w:r>
      <w:r>
        <w:t xml:space="preserve"> IFRS SME 18.19 en 18.20</w:t>
      </w:r>
    </w:p>
  </w:footnote>
  <w:footnote w:id="58">
    <w:p w:rsidR="009A0204" w:rsidRDefault="009A0204" w:rsidP="00780824">
      <w:pPr>
        <w:pStyle w:val="Voetnoottekst"/>
      </w:pPr>
      <w:r>
        <w:rPr>
          <w:rStyle w:val="Voetnootmarkering"/>
        </w:rPr>
        <w:footnoteRef/>
      </w:r>
      <w:r>
        <w:t xml:space="preserve"> IAS 38.107</w:t>
      </w:r>
    </w:p>
  </w:footnote>
  <w:footnote w:id="59">
    <w:p w:rsidR="009A0204" w:rsidRDefault="009A0204" w:rsidP="00780824">
      <w:pPr>
        <w:pStyle w:val="Voetnoottekst"/>
      </w:pPr>
      <w:r>
        <w:rPr>
          <w:rStyle w:val="Voetnootmarkering"/>
        </w:rPr>
        <w:footnoteRef/>
      </w:r>
      <w:r>
        <w:t xml:space="preserve"> 2:386 BW</w:t>
      </w:r>
    </w:p>
  </w:footnote>
  <w:footnote w:id="60">
    <w:p w:rsidR="009A0204" w:rsidRDefault="009A0204" w:rsidP="00780824">
      <w:pPr>
        <w:pStyle w:val="Voetnoottekst"/>
      </w:pPr>
      <w:r>
        <w:rPr>
          <w:rStyle w:val="Voetnootmarkering"/>
        </w:rPr>
        <w:footnoteRef/>
      </w:r>
      <w:r>
        <w:t xml:space="preserve"> Voorwaarden voor activering van een immaterieel vast actief onder Dutch GAAP en full IFRS: waarschijnlijk dat er toekomstige economische voordelen uit voortvloeien die toekomen aan de rechtspersoon en kosten moeten betrouwbaar zijn vast te stellen (EY Handboek, p. 161)</w:t>
      </w:r>
    </w:p>
  </w:footnote>
  <w:footnote w:id="61">
    <w:p w:rsidR="009A0204" w:rsidRDefault="009A0204" w:rsidP="00780824">
      <w:pPr>
        <w:pStyle w:val="Voetnoottekst"/>
      </w:pPr>
      <w:r>
        <w:rPr>
          <w:rStyle w:val="Voetnootmarkering"/>
        </w:rPr>
        <w:footnoteRef/>
      </w:r>
      <w:r>
        <w:t xml:space="preserve"> IAS 38.57, RJ 210.224</w:t>
      </w:r>
    </w:p>
  </w:footnote>
  <w:footnote w:id="62">
    <w:p w:rsidR="009A0204" w:rsidRDefault="009A0204" w:rsidP="00780824">
      <w:pPr>
        <w:pStyle w:val="Voetnoottekst"/>
      </w:pPr>
      <w:r>
        <w:rPr>
          <w:rStyle w:val="Voetnootmarkering"/>
        </w:rPr>
        <w:footnoteRef/>
      </w:r>
      <w:r>
        <w:t xml:space="preserve"> IFRS SME 18.14</w:t>
      </w:r>
    </w:p>
  </w:footnote>
  <w:footnote w:id="63">
    <w:p w:rsidR="009A0204" w:rsidRDefault="009A0204" w:rsidP="00780824">
      <w:pPr>
        <w:pStyle w:val="Voetnoottekst"/>
      </w:pPr>
      <w:r>
        <w:rPr>
          <w:rStyle w:val="Voetnootmarkering"/>
        </w:rPr>
        <w:footnoteRef/>
      </w:r>
      <w:r>
        <w:t xml:space="preserve"> EY Handboek, p. 177</w:t>
      </w:r>
    </w:p>
  </w:footnote>
  <w:footnote w:id="64">
    <w:p w:rsidR="009A0204" w:rsidRDefault="009A0204" w:rsidP="00780824">
      <w:pPr>
        <w:pStyle w:val="Voetnoottekst"/>
      </w:pPr>
      <w:r>
        <w:rPr>
          <w:rStyle w:val="Voetnootmarkering"/>
        </w:rPr>
        <w:footnoteRef/>
      </w:r>
      <w:r>
        <w:t xml:space="preserve"> RJ 214.333</w:t>
      </w:r>
    </w:p>
  </w:footnote>
  <w:footnote w:id="65">
    <w:p w:rsidR="009A0204" w:rsidRDefault="009A0204" w:rsidP="00780824">
      <w:pPr>
        <w:pStyle w:val="Voetnoottekst"/>
      </w:pPr>
      <w:r>
        <w:rPr>
          <w:rStyle w:val="Voetnootmarkering"/>
        </w:rPr>
        <w:footnoteRef/>
      </w:r>
      <w:r>
        <w:t xml:space="preserve"> EY Handboek, p. 706</w:t>
      </w:r>
    </w:p>
  </w:footnote>
  <w:footnote w:id="66">
    <w:p w:rsidR="009A0204" w:rsidRDefault="009A0204" w:rsidP="00780824">
      <w:pPr>
        <w:pStyle w:val="Voetnoottekst"/>
      </w:pPr>
      <w:r>
        <w:rPr>
          <w:rStyle w:val="Voetnootmarkering"/>
        </w:rPr>
        <w:footnoteRef/>
      </w:r>
      <w:r>
        <w:t xml:space="preserve"> Ibidem, p. 712</w:t>
      </w:r>
    </w:p>
  </w:footnote>
  <w:footnote w:id="67">
    <w:p w:rsidR="009A0204" w:rsidRDefault="009A0204" w:rsidP="00780824">
      <w:pPr>
        <w:pStyle w:val="Voetnoottekst"/>
      </w:pPr>
      <w:r>
        <w:rPr>
          <w:rStyle w:val="Voetnootmarkering"/>
        </w:rPr>
        <w:footnoteRef/>
      </w:r>
      <w:r>
        <w:t xml:space="preserve"> 2:389 lid 7 BW</w:t>
      </w:r>
    </w:p>
  </w:footnote>
  <w:footnote w:id="68">
    <w:p w:rsidR="009A0204" w:rsidRDefault="009A0204" w:rsidP="00780824">
      <w:pPr>
        <w:pStyle w:val="Voetnoottekst"/>
      </w:pPr>
      <w:r>
        <w:rPr>
          <w:rStyle w:val="Voetnootmarkering"/>
        </w:rPr>
        <w:footnoteRef/>
      </w:r>
      <w:r>
        <w:t xml:space="preserve"> RJ 216.218</w:t>
      </w:r>
    </w:p>
  </w:footnote>
  <w:footnote w:id="69">
    <w:p w:rsidR="009A0204" w:rsidRDefault="009A0204" w:rsidP="00780824">
      <w:pPr>
        <w:pStyle w:val="Voetnoottekst"/>
      </w:pPr>
      <w:r>
        <w:rPr>
          <w:rStyle w:val="Voetnootmarkering"/>
        </w:rPr>
        <w:footnoteRef/>
      </w:r>
      <w:r>
        <w:t xml:space="preserve"> IFRS SME 19.23. Ook hier geldt een levensduur van 10 jaar als deze niet betrouwbaar kan worden geschat.</w:t>
      </w:r>
    </w:p>
  </w:footnote>
  <w:footnote w:id="70">
    <w:p w:rsidR="009A0204" w:rsidRPr="004F0EED" w:rsidRDefault="009A0204" w:rsidP="00780824">
      <w:pPr>
        <w:pStyle w:val="Voetnoottekst"/>
        <w:rPr>
          <w:lang w:val="en-US"/>
        </w:rPr>
      </w:pPr>
      <w:r>
        <w:rPr>
          <w:rStyle w:val="Voetnootmarkering"/>
        </w:rPr>
        <w:footnoteRef/>
      </w:r>
      <w:r w:rsidRPr="004F0EED">
        <w:rPr>
          <w:lang w:val="en-US"/>
        </w:rPr>
        <w:t xml:space="preserve"> IFRS SME 4.11</w:t>
      </w:r>
    </w:p>
  </w:footnote>
  <w:footnote w:id="71">
    <w:p w:rsidR="009A0204" w:rsidRPr="004F0EED" w:rsidRDefault="009A0204" w:rsidP="00780824">
      <w:pPr>
        <w:pStyle w:val="Voetnoottekst"/>
        <w:rPr>
          <w:lang w:val="en-US"/>
        </w:rPr>
      </w:pPr>
      <w:r>
        <w:rPr>
          <w:rStyle w:val="Voetnootmarkering"/>
        </w:rPr>
        <w:footnoteRef/>
      </w:r>
      <w:r w:rsidRPr="004F0EED">
        <w:rPr>
          <w:lang w:val="en-US"/>
        </w:rPr>
        <w:t xml:space="preserve"> IAS 16.37</w:t>
      </w:r>
    </w:p>
  </w:footnote>
  <w:footnote w:id="72">
    <w:p w:rsidR="009A0204" w:rsidRPr="009B54CD" w:rsidRDefault="009A0204" w:rsidP="00780824">
      <w:pPr>
        <w:pStyle w:val="Voetnoottekst"/>
        <w:rPr>
          <w:lang w:val="en-US"/>
        </w:rPr>
      </w:pPr>
      <w:r>
        <w:rPr>
          <w:rStyle w:val="Voetnootmarkering"/>
        </w:rPr>
        <w:footnoteRef/>
      </w:r>
      <w:r w:rsidRPr="003F0659">
        <w:rPr>
          <w:lang w:val="en-US"/>
        </w:rPr>
        <w:t xml:space="preserve"> </w:t>
      </w:r>
      <w:r>
        <w:rPr>
          <w:lang w:val="en-US"/>
        </w:rPr>
        <w:t>RJ 212.601</w:t>
      </w:r>
    </w:p>
  </w:footnote>
  <w:footnote w:id="73">
    <w:p w:rsidR="009A0204" w:rsidRPr="004F0EED" w:rsidRDefault="009A0204" w:rsidP="00780824">
      <w:pPr>
        <w:pStyle w:val="Voetnoottekst"/>
        <w:rPr>
          <w:lang w:val="en-US"/>
        </w:rPr>
      </w:pPr>
      <w:r>
        <w:rPr>
          <w:rStyle w:val="Voetnootmarkering"/>
        </w:rPr>
        <w:footnoteRef/>
      </w:r>
      <w:r w:rsidRPr="004F0EED">
        <w:rPr>
          <w:lang w:val="en-US"/>
        </w:rPr>
        <w:t xml:space="preserve"> IFRS SME 17.4, IAS 16.7, RJ 212.201</w:t>
      </w:r>
    </w:p>
  </w:footnote>
  <w:footnote w:id="74">
    <w:p w:rsidR="009A0204" w:rsidRDefault="009A0204" w:rsidP="00780824">
      <w:pPr>
        <w:pStyle w:val="Voetnoottekst"/>
      </w:pPr>
      <w:r>
        <w:rPr>
          <w:rStyle w:val="Voetnootmarkering"/>
        </w:rPr>
        <w:footnoteRef/>
      </w:r>
      <w:r>
        <w:t xml:space="preserve"> EY Handboek, p. 194</w:t>
      </w:r>
    </w:p>
  </w:footnote>
  <w:footnote w:id="75">
    <w:p w:rsidR="009A0204" w:rsidRDefault="009A0204" w:rsidP="00780824">
      <w:pPr>
        <w:pStyle w:val="Voetnoottekst"/>
      </w:pPr>
      <w:r>
        <w:rPr>
          <w:rStyle w:val="Voetnootmarkering"/>
        </w:rPr>
        <w:footnoteRef/>
      </w:r>
      <w:r>
        <w:t xml:space="preserve"> 2:384 lid 1 BW &amp; Besluit Actuele Waarde: vervangingswaarde of bedrijfswaarde als deze lager is. Opbrengstwaarde als het actief verkocht wordt.</w:t>
      </w:r>
    </w:p>
  </w:footnote>
  <w:footnote w:id="76">
    <w:p w:rsidR="009A0204" w:rsidRDefault="009A0204" w:rsidP="00780824">
      <w:pPr>
        <w:pStyle w:val="Voetnoottekst"/>
      </w:pPr>
      <w:r>
        <w:rPr>
          <w:rStyle w:val="Voetnootmarkering"/>
        </w:rPr>
        <w:footnoteRef/>
      </w:r>
      <w:r>
        <w:t xml:space="preserve"> IAS 16.6: het bedrag waarvoor een actief kan worden verhandeld tussen ter zake goed geïnformeerde, tot een transactie bereid zijnde partijen, die onafhankelijk van elkaar zijn.</w:t>
      </w:r>
    </w:p>
  </w:footnote>
  <w:footnote w:id="77">
    <w:p w:rsidR="009A0204" w:rsidRPr="004F0EED" w:rsidRDefault="009A0204" w:rsidP="00780824">
      <w:pPr>
        <w:pStyle w:val="Voetnoottekst"/>
        <w:rPr>
          <w:lang w:val="en-US"/>
        </w:rPr>
      </w:pPr>
      <w:r>
        <w:rPr>
          <w:rStyle w:val="Voetnootmarkering"/>
        </w:rPr>
        <w:footnoteRef/>
      </w:r>
      <w:r w:rsidRPr="004F0EED">
        <w:rPr>
          <w:lang w:val="en-US"/>
        </w:rPr>
        <w:t xml:space="preserve"> IFRS SME 17.15</w:t>
      </w:r>
    </w:p>
  </w:footnote>
  <w:footnote w:id="78">
    <w:p w:rsidR="009A0204" w:rsidRPr="004F0EED" w:rsidRDefault="009A0204" w:rsidP="00780824">
      <w:pPr>
        <w:pStyle w:val="Voetnoottekst"/>
        <w:rPr>
          <w:lang w:val="en-US"/>
        </w:rPr>
      </w:pPr>
      <w:r>
        <w:rPr>
          <w:rStyle w:val="Voetnootmarkering"/>
        </w:rPr>
        <w:footnoteRef/>
      </w:r>
      <w:r w:rsidRPr="004F0EED">
        <w:rPr>
          <w:lang w:val="en-US"/>
        </w:rPr>
        <w:t xml:space="preserve"> IFRS SME 17.6</w:t>
      </w:r>
    </w:p>
  </w:footnote>
  <w:footnote w:id="79">
    <w:p w:rsidR="009A0204" w:rsidRPr="004F0EED" w:rsidRDefault="009A0204" w:rsidP="00780824">
      <w:pPr>
        <w:pStyle w:val="Voetnoottekst"/>
        <w:rPr>
          <w:lang w:val="en-US"/>
        </w:rPr>
      </w:pPr>
      <w:r>
        <w:rPr>
          <w:rStyle w:val="Voetnootmarkering"/>
        </w:rPr>
        <w:footnoteRef/>
      </w:r>
      <w:r w:rsidRPr="004F0EED">
        <w:rPr>
          <w:lang w:val="en-US"/>
        </w:rPr>
        <w:t xml:space="preserve"> IAS 16.13 + 16.14 </w:t>
      </w:r>
    </w:p>
  </w:footnote>
  <w:footnote w:id="80">
    <w:p w:rsidR="009A0204" w:rsidRDefault="009A0204" w:rsidP="00780824">
      <w:pPr>
        <w:pStyle w:val="Voetnoottekst"/>
      </w:pPr>
      <w:r>
        <w:rPr>
          <w:rStyle w:val="Voetnootmarkering"/>
        </w:rPr>
        <w:footnoteRef/>
      </w:r>
      <w:r>
        <w:t xml:space="preserve"> IFRS SME 17.16</w:t>
      </w:r>
    </w:p>
  </w:footnote>
  <w:footnote w:id="81">
    <w:p w:rsidR="009A0204" w:rsidRDefault="009A0204" w:rsidP="00780824">
      <w:pPr>
        <w:pStyle w:val="Voetnoottekst"/>
      </w:pPr>
      <w:r>
        <w:rPr>
          <w:rStyle w:val="Voetnootmarkering"/>
        </w:rPr>
        <w:footnoteRef/>
      </w:r>
      <w:r>
        <w:t xml:space="preserve"> EY Handboek, p. 210</w:t>
      </w:r>
    </w:p>
  </w:footnote>
  <w:footnote w:id="82">
    <w:p w:rsidR="009A0204" w:rsidRDefault="009A0204" w:rsidP="00780824">
      <w:pPr>
        <w:pStyle w:val="Voetnoottekst"/>
      </w:pPr>
      <w:r>
        <w:rPr>
          <w:rStyle w:val="Voetnootmarkering"/>
        </w:rPr>
        <w:footnoteRef/>
      </w:r>
      <w:r>
        <w:t xml:space="preserve"> RJ 212.445</w:t>
      </w:r>
    </w:p>
  </w:footnote>
  <w:footnote w:id="83">
    <w:p w:rsidR="009A0204" w:rsidRDefault="009A0204" w:rsidP="00780824">
      <w:pPr>
        <w:pStyle w:val="Voetnoottekst"/>
      </w:pPr>
      <w:r>
        <w:rPr>
          <w:rStyle w:val="Voetnootmarkering"/>
        </w:rPr>
        <w:footnoteRef/>
      </w:r>
      <w:r>
        <w:t xml:space="preserve"> IAS 23.5 en RJ 273.103. Mits voldaan is aan de algemene activeringseisen voor materiële vaste activa; zie hiervoor de bronnen uit voetnoot 26. </w:t>
      </w:r>
    </w:p>
  </w:footnote>
  <w:footnote w:id="84">
    <w:p w:rsidR="009A0204" w:rsidRDefault="009A0204" w:rsidP="00780824">
      <w:pPr>
        <w:pStyle w:val="Voetnoottekst"/>
      </w:pPr>
      <w:r>
        <w:rPr>
          <w:rStyle w:val="Voetnootmarkering"/>
        </w:rPr>
        <w:footnoteRef/>
      </w:r>
      <w:r>
        <w:t xml:space="preserve"> In IAS 27, IAS 32 en IAS 39 zijn de verschillende typen deelnemingen, joint </w:t>
      </w:r>
      <w:proofErr w:type="spellStart"/>
      <w:r>
        <w:t>ventures</w:t>
      </w:r>
      <w:proofErr w:type="spellEnd"/>
      <w:r>
        <w:t xml:space="preserve"> en groepsmaatschappijen te vinden.</w:t>
      </w:r>
    </w:p>
  </w:footnote>
  <w:footnote w:id="85">
    <w:p w:rsidR="009A0204" w:rsidRDefault="009A0204" w:rsidP="00780824">
      <w:pPr>
        <w:pStyle w:val="Voetnoottekst"/>
      </w:pPr>
      <w:r>
        <w:rPr>
          <w:rStyle w:val="Voetnootmarkering"/>
        </w:rPr>
        <w:footnoteRef/>
      </w:r>
      <w:r>
        <w:t xml:space="preserve"> 2:24c BW lid 1 </w:t>
      </w:r>
    </w:p>
  </w:footnote>
  <w:footnote w:id="86">
    <w:p w:rsidR="009A0204" w:rsidRDefault="009A0204" w:rsidP="00780824">
      <w:pPr>
        <w:pStyle w:val="Voetnoottekst"/>
      </w:pPr>
      <w:r>
        <w:rPr>
          <w:rStyle w:val="Voetnootmarkering"/>
        </w:rPr>
        <w:footnoteRef/>
      </w:r>
      <w:r>
        <w:t xml:space="preserve"> IFRS SME 9.5-9.6</w:t>
      </w:r>
    </w:p>
  </w:footnote>
  <w:footnote w:id="87">
    <w:p w:rsidR="009A0204" w:rsidRDefault="009A0204" w:rsidP="00780824">
      <w:pPr>
        <w:pStyle w:val="Voetnoottekst"/>
      </w:pPr>
      <w:r>
        <w:rPr>
          <w:rStyle w:val="Voetnootmarkering"/>
        </w:rPr>
        <w:footnoteRef/>
      </w:r>
      <w:r>
        <w:t xml:space="preserve"> IFRS SME 9.26</w:t>
      </w:r>
    </w:p>
  </w:footnote>
  <w:footnote w:id="88">
    <w:p w:rsidR="009A0204" w:rsidRDefault="009A0204" w:rsidP="00780824">
      <w:pPr>
        <w:pStyle w:val="Voetnoottekst"/>
      </w:pPr>
      <w:r>
        <w:rPr>
          <w:rStyle w:val="Voetnootmarkering"/>
        </w:rPr>
        <w:footnoteRef/>
      </w:r>
      <w:r>
        <w:t xml:space="preserve"> EY Handboek p. 254</w:t>
      </w:r>
    </w:p>
  </w:footnote>
  <w:footnote w:id="89">
    <w:p w:rsidR="009A0204" w:rsidRDefault="009A0204" w:rsidP="00780824">
      <w:pPr>
        <w:pStyle w:val="Voetnoottekst"/>
      </w:pPr>
      <w:r>
        <w:rPr>
          <w:rStyle w:val="Voetnootmarkering"/>
        </w:rPr>
        <w:footnoteRef/>
      </w:r>
      <w:r>
        <w:t xml:space="preserve"> IAS 27.37 en 28.35</w:t>
      </w:r>
    </w:p>
  </w:footnote>
  <w:footnote w:id="90">
    <w:p w:rsidR="009A0204" w:rsidRDefault="009A0204" w:rsidP="00780824">
      <w:pPr>
        <w:pStyle w:val="Voetnoottekst"/>
      </w:pPr>
      <w:r>
        <w:rPr>
          <w:rStyle w:val="Voetnootmarkering"/>
        </w:rPr>
        <w:footnoteRef/>
      </w:r>
      <w:r>
        <w:t xml:space="preserve"> In het vervolg: overige deelnemingen</w:t>
      </w:r>
    </w:p>
  </w:footnote>
  <w:footnote w:id="91">
    <w:p w:rsidR="009A0204" w:rsidRDefault="009A0204" w:rsidP="00780824">
      <w:pPr>
        <w:pStyle w:val="Voetnoottekst"/>
      </w:pPr>
      <w:r>
        <w:rPr>
          <w:rStyle w:val="Voetnootmarkering"/>
        </w:rPr>
        <w:footnoteRef/>
      </w:r>
      <w:r>
        <w:t xml:space="preserve"> IFRS SME 11.14 en IAS 39</w:t>
      </w:r>
    </w:p>
  </w:footnote>
  <w:footnote w:id="92">
    <w:p w:rsidR="009A0204" w:rsidRDefault="009A0204" w:rsidP="00780824">
      <w:pPr>
        <w:pStyle w:val="Voetnoottekst"/>
      </w:pPr>
      <w:r>
        <w:rPr>
          <w:rStyle w:val="Voetnootmarkering"/>
        </w:rPr>
        <w:footnoteRef/>
      </w:r>
      <w:r>
        <w:t xml:space="preserve"> 2:384 lid 1 BW, RJ 226.214</w:t>
      </w:r>
    </w:p>
  </w:footnote>
  <w:footnote w:id="93">
    <w:p w:rsidR="009A0204" w:rsidRDefault="009A0204" w:rsidP="00780824">
      <w:pPr>
        <w:pStyle w:val="Voetnoottekst"/>
      </w:pPr>
      <w:r>
        <w:rPr>
          <w:rStyle w:val="Voetnootmarkering"/>
        </w:rPr>
        <w:footnoteRef/>
      </w:r>
      <w:r>
        <w:t xml:space="preserve"> RJ 214.215</w:t>
      </w:r>
    </w:p>
  </w:footnote>
  <w:footnote w:id="94">
    <w:p w:rsidR="009A0204" w:rsidRDefault="009A0204" w:rsidP="00780824">
      <w:pPr>
        <w:pStyle w:val="Voetnoottekst"/>
      </w:pPr>
      <w:r>
        <w:rPr>
          <w:rStyle w:val="Voetnootmarkering"/>
        </w:rPr>
        <w:footnoteRef/>
      </w:r>
      <w:r>
        <w:t xml:space="preserve"> IAS 28.13</w:t>
      </w:r>
    </w:p>
  </w:footnote>
  <w:footnote w:id="95">
    <w:p w:rsidR="009A0204" w:rsidRDefault="009A0204" w:rsidP="00780824">
      <w:pPr>
        <w:pStyle w:val="Voetnoottekst"/>
      </w:pPr>
      <w:r>
        <w:rPr>
          <w:rStyle w:val="Voetnootmarkering"/>
        </w:rPr>
        <w:footnoteRef/>
      </w:r>
      <w:r>
        <w:t xml:space="preserve"> IAS 28.11</w:t>
      </w:r>
    </w:p>
  </w:footnote>
  <w:footnote w:id="96">
    <w:p w:rsidR="009A0204" w:rsidRDefault="009A0204" w:rsidP="00780824">
      <w:pPr>
        <w:pStyle w:val="Voetnoottekst"/>
      </w:pPr>
      <w:r>
        <w:rPr>
          <w:rStyle w:val="Voetnootmarkering"/>
        </w:rPr>
        <w:footnoteRef/>
      </w:r>
      <w:r>
        <w:t xml:space="preserve"> Zogenaamde consolidatiegoodwill (</w:t>
      </w:r>
      <w:proofErr w:type="spellStart"/>
      <w:r>
        <w:t>Achaibersing</w:t>
      </w:r>
      <w:proofErr w:type="spellEnd"/>
      <w:r>
        <w:t>, p. 398)</w:t>
      </w:r>
    </w:p>
  </w:footnote>
  <w:footnote w:id="97">
    <w:p w:rsidR="009A0204" w:rsidRDefault="009A0204" w:rsidP="00780824">
      <w:pPr>
        <w:pStyle w:val="Voetnoottekst"/>
      </w:pPr>
      <w:r>
        <w:rPr>
          <w:rStyle w:val="Voetnootmarkering"/>
        </w:rPr>
        <w:footnoteRef/>
      </w:r>
      <w:r>
        <w:t xml:space="preserve"> IFRS SME 14.4</w:t>
      </w:r>
    </w:p>
  </w:footnote>
  <w:footnote w:id="98">
    <w:p w:rsidR="009A0204" w:rsidRDefault="009A0204" w:rsidP="00780824">
      <w:pPr>
        <w:pStyle w:val="Voetnoottekst"/>
      </w:pPr>
      <w:r>
        <w:rPr>
          <w:rStyle w:val="Voetnootmarkering"/>
        </w:rPr>
        <w:footnoteRef/>
      </w:r>
      <w:r>
        <w:t xml:space="preserve"> 2:386 lid 1 BW</w:t>
      </w:r>
    </w:p>
  </w:footnote>
  <w:footnote w:id="99">
    <w:p w:rsidR="009A0204" w:rsidRDefault="009A0204" w:rsidP="00780824">
      <w:pPr>
        <w:pStyle w:val="Voetnoottekst"/>
      </w:pPr>
      <w:r>
        <w:rPr>
          <w:rStyle w:val="Voetnootmarkering"/>
        </w:rPr>
        <w:footnoteRef/>
      </w:r>
      <w:r>
        <w:t xml:space="preserve"> IFRS SME 13.4</w:t>
      </w:r>
    </w:p>
  </w:footnote>
  <w:footnote w:id="100">
    <w:p w:rsidR="009A0204" w:rsidRPr="00151D3F" w:rsidRDefault="009A0204" w:rsidP="00780824">
      <w:pPr>
        <w:pStyle w:val="Voetnoottekst"/>
      </w:pPr>
      <w:r>
        <w:rPr>
          <w:rStyle w:val="Voetnootmarkering"/>
        </w:rPr>
        <w:footnoteRef/>
      </w:r>
      <w:r w:rsidRPr="00E91C2D">
        <w:t xml:space="preserve"> IFRS SME 13.18. </w:t>
      </w:r>
      <w:r w:rsidRPr="00151D3F">
        <w:t xml:space="preserve">FIFO: First In First Out; de voorraad op de balans bestaat uit de laatst ingekochte eenheden. </w:t>
      </w:r>
      <w:proofErr w:type="spellStart"/>
      <w:r>
        <w:t>Weighted</w:t>
      </w:r>
      <w:proofErr w:type="spellEnd"/>
      <w:r>
        <w:t xml:space="preserve"> average </w:t>
      </w:r>
      <w:proofErr w:type="spellStart"/>
      <w:r>
        <w:t>cost</w:t>
      </w:r>
      <w:proofErr w:type="spellEnd"/>
      <w:r>
        <w:t>: voorraad gewaardeerd tegen de gewogen gemiddelde kostprijs.</w:t>
      </w:r>
    </w:p>
  </w:footnote>
  <w:footnote w:id="101">
    <w:p w:rsidR="009A0204" w:rsidRPr="00EB5C19" w:rsidRDefault="009A0204" w:rsidP="00780824">
      <w:pPr>
        <w:pStyle w:val="Voetnoottekst"/>
        <w:rPr>
          <w:lang w:val="en-US"/>
        </w:rPr>
      </w:pPr>
      <w:r>
        <w:rPr>
          <w:rStyle w:val="Voetnootmarkering"/>
        </w:rPr>
        <w:footnoteRef/>
      </w:r>
      <w:r w:rsidRPr="00EB5C19">
        <w:rPr>
          <w:lang w:val="en-US"/>
        </w:rPr>
        <w:t xml:space="preserve"> IFRS SME 13.4</w:t>
      </w:r>
    </w:p>
  </w:footnote>
  <w:footnote w:id="102">
    <w:p w:rsidR="009A0204" w:rsidRPr="00EB5C19" w:rsidRDefault="009A0204" w:rsidP="00780824">
      <w:pPr>
        <w:pStyle w:val="Voetnoottekst"/>
        <w:rPr>
          <w:lang w:val="en-US"/>
        </w:rPr>
      </w:pPr>
      <w:r>
        <w:rPr>
          <w:rStyle w:val="Voetnootmarkering"/>
        </w:rPr>
        <w:footnoteRef/>
      </w:r>
      <w:r w:rsidRPr="00EB5C19">
        <w:rPr>
          <w:lang w:val="en-US"/>
        </w:rPr>
        <w:t xml:space="preserve"> IAS 2.9, IAS 2.25</w:t>
      </w:r>
    </w:p>
  </w:footnote>
  <w:footnote w:id="103">
    <w:p w:rsidR="009A0204" w:rsidRPr="00A561FC" w:rsidRDefault="009A0204" w:rsidP="00FA5A46">
      <w:pPr>
        <w:pStyle w:val="Voetnoottekst"/>
        <w:rPr>
          <w:lang w:val="en-US"/>
        </w:rPr>
      </w:pPr>
      <w:r>
        <w:rPr>
          <w:rStyle w:val="Voetnootmarkering"/>
        </w:rPr>
        <w:footnoteRef/>
      </w:r>
      <w:r>
        <w:rPr>
          <w:lang w:val="en-US"/>
        </w:rPr>
        <w:t xml:space="preserve"> </w:t>
      </w:r>
      <w:proofErr w:type="spellStart"/>
      <w:r>
        <w:rPr>
          <w:lang w:val="en-US"/>
        </w:rPr>
        <w:t>Choi</w:t>
      </w:r>
      <w:proofErr w:type="spellEnd"/>
      <w:r>
        <w:rPr>
          <w:lang w:val="en-US"/>
        </w:rPr>
        <w:t>, p. 44</w:t>
      </w:r>
    </w:p>
    <w:p w:rsidR="009A0204" w:rsidRPr="00A561FC" w:rsidRDefault="009A0204" w:rsidP="00780824">
      <w:pPr>
        <w:pStyle w:val="Voetnoottekst"/>
        <w:rPr>
          <w:lang w:val="en-US"/>
        </w:rPr>
      </w:pPr>
    </w:p>
  </w:footnote>
  <w:footnote w:id="104">
    <w:p w:rsidR="009A0204" w:rsidRDefault="009A0204" w:rsidP="00780824">
      <w:pPr>
        <w:pStyle w:val="Voetnoottekst"/>
      </w:pPr>
      <w:r>
        <w:rPr>
          <w:rStyle w:val="Voetnootmarkering"/>
        </w:rPr>
        <w:footnoteRef/>
      </w:r>
      <w:r>
        <w:t xml:space="preserve"> Vervangingswaarde: het bedrag dat nodig zou zijn om in de plaats van een actief dat bij de bedrijfsuitoefening is of wordt gebruikt, verbruikt of voorgebracht, een ander actief te verkrijgen of te vervaardigen dat voor de bedrijfsuitoefening een in economisch opzicht gelijke betekenis heeft (art. 2 Besluit Actuele Waarde). Dus: benodigd bedrag voor verwerving van een gelijkwaardig actief</w:t>
      </w:r>
    </w:p>
    <w:p w:rsidR="009A0204" w:rsidRDefault="009A0204" w:rsidP="00780824">
      <w:pPr>
        <w:pStyle w:val="Voetnoottekst"/>
      </w:pPr>
      <w:r>
        <w:t>Opbrengstwaarde: bedrag waartegen een actief maximaal kan worden verkocht, onder aftrek van nog te maken kosten (art. 5 Besluit Actuele Waarde)</w:t>
      </w:r>
    </w:p>
  </w:footnote>
  <w:footnote w:id="105">
    <w:p w:rsidR="009A0204" w:rsidRDefault="009A0204" w:rsidP="00780824">
      <w:pPr>
        <w:pStyle w:val="Voetnoottekst"/>
      </w:pPr>
      <w:r>
        <w:rPr>
          <w:rStyle w:val="Voetnootmarkering"/>
        </w:rPr>
        <w:footnoteRef/>
      </w:r>
      <w:r>
        <w:t xml:space="preserve"> 2:390 lid 1 BW</w:t>
      </w:r>
    </w:p>
  </w:footnote>
  <w:footnote w:id="106">
    <w:p w:rsidR="009A0204" w:rsidRDefault="009A0204" w:rsidP="00780824">
      <w:pPr>
        <w:pStyle w:val="Voetnoottekst"/>
      </w:pPr>
      <w:r>
        <w:rPr>
          <w:rStyle w:val="Voetnootmarkering"/>
        </w:rPr>
        <w:footnoteRef/>
      </w:r>
      <w:r>
        <w:t xml:space="preserve"> Last In First Out; de voorraad op de balans bestaat uit de eerst ingekochte eenheden.</w:t>
      </w:r>
    </w:p>
  </w:footnote>
  <w:footnote w:id="107">
    <w:p w:rsidR="009A0204" w:rsidRPr="00EB5C19" w:rsidRDefault="009A0204" w:rsidP="00780824">
      <w:pPr>
        <w:pStyle w:val="Voetnoottekst"/>
        <w:rPr>
          <w:lang w:val="en-US"/>
        </w:rPr>
      </w:pPr>
      <w:r>
        <w:rPr>
          <w:rStyle w:val="Voetnootmarkering"/>
        </w:rPr>
        <w:footnoteRef/>
      </w:r>
      <w:r w:rsidRPr="00EB5C19">
        <w:rPr>
          <w:lang w:val="en-US"/>
        </w:rPr>
        <w:t xml:space="preserve"> RJ 220.317</w:t>
      </w:r>
    </w:p>
  </w:footnote>
  <w:footnote w:id="108">
    <w:p w:rsidR="009A0204" w:rsidRPr="00E91C2D" w:rsidRDefault="009A0204" w:rsidP="00780824">
      <w:pPr>
        <w:pStyle w:val="Voetnoottekst"/>
        <w:rPr>
          <w:lang w:val="en-US"/>
        </w:rPr>
      </w:pPr>
      <w:r>
        <w:rPr>
          <w:rStyle w:val="Voetnootmarkering"/>
        </w:rPr>
        <w:footnoteRef/>
      </w:r>
      <w:r w:rsidRPr="00E91C2D">
        <w:rPr>
          <w:lang w:val="en-US"/>
        </w:rPr>
        <w:t xml:space="preserve"> BDO IFRS For SME</w:t>
      </w:r>
    </w:p>
  </w:footnote>
  <w:footnote w:id="109">
    <w:p w:rsidR="009A0204" w:rsidRPr="00E91C2D" w:rsidRDefault="009A0204" w:rsidP="00780824">
      <w:pPr>
        <w:pStyle w:val="Voetnoottekst"/>
        <w:rPr>
          <w:lang w:val="en-US"/>
        </w:rPr>
      </w:pPr>
      <w:r>
        <w:rPr>
          <w:rStyle w:val="Voetnootmarkering"/>
        </w:rPr>
        <w:footnoteRef/>
      </w:r>
      <w:r w:rsidRPr="00E91C2D">
        <w:rPr>
          <w:lang w:val="en-US"/>
        </w:rPr>
        <w:t xml:space="preserve"> IFRS SME 11.13</w:t>
      </w:r>
    </w:p>
  </w:footnote>
  <w:footnote w:id="110">
    <w:p w:rsidR="009A0204" w:rsidRDefault="009A0204" w:rsidP="00780824">
      <w:pPr>
        <w:pStyle w:val="Voetnoottekst"/>
      </w:pPr>
      <w:r>
        <w:rPr>
          <w:rStyle w:val="Voetnootmarkering"/>
        </w:rPr>
        <w:footnoteRef/>
      </w:r>
      <w:r>
        <w:t xml:space="preserve"> Geamortiseerde kostprijs: </w:t>
      </w:r>
      <w:proofErr w:type="spellStart"/>
      <w:r>
        <w:t>verkrijgingsprijs</w:t>
      </w:r>
      <w:proofErr w:type="spellEnd"/>
      <w:r>
        <w:t xml:space="preserve"> financieel actief – aflossingen op hoofdsom +/- amortisatie agio/disagio (EY handboek, p. 835)</w:t>
      </w:r>
    </w:p>
  </w:footnote>
  <w:footnote w:id="111">
    <w:p w:rsidR="009A0204" w:rsidRDefault="009A0204" w:rsidP="00780824">
      <w:pPr>
        <w:pStyle w:val="Voetnoottekst"/>
      </w:pPr>
      <w:r>
        <w:rPr>
          <w:rStyle w:val="Voetnootmarkering"/>
        </w:rPr>
        <w:footnoteRef/>
      </w:r>
      <w:r>
        <w:t xml:space="preserve"> IFRS SME 11.14</w:t>
      </w:r>
    </w:p>
  </w:footnote>
  <w:footnote w:id="112">
    <w:p w:rsidR="009A0204" w:rsidRDefault="009A0204" w:rsidP="00780824">
      <w:pPr>
        <w:pStyle w:val="Voetnoottekst"/>
      </w:pPr>
      <w:r>
        <w:rPr>
          <w:rStyle w:val="Voetnootmarkering"/>
        </w:rPr>
        <w:footnoteRef/>
      </w:r>
      <w:r>
        <w:t xml:space="preserve"> IAS 39.43 en RJ 222.201</w:t>
      </w:r>
    </w:p>
  </w:footnote>
  <w:footnote w:id="113">
    <w:p w:rsidR="009A0204" w:rsidRDefault="009A0204" w:rsidP="00780824">
      <w:pPr>
        <w:pStyle w:val="Voetnoottekst"/>
      </w:pPr>
      <w:r>
        <w:rPr>
          <w:rStyle w:val="Voetnootmarkering"/>
        </w:rPr>
        <w:footnoteRef/>
      </w:r>
      <w:r>
        <w:t xml:space="preserve"> IAS 39.46 en RJ 222.202</w:t>
      </w:r>
    </w:p>
  </w:footnote>
  <w:footnote w:id="114">
    <w:p w:rsidR="009A0204" w:rsidRDefault="009A0204" w:rsidP="00780824">
      <w:pPr>
        <w:pStyle w:val="Voetnoottekst"/>
      </w:pPr>
      <w:r>
        <w:rPr>
          <w:rStyle w:val="Voetnootmarkering"/>
        </w:rPr>
        <w:footnoteRef/>
      </w:r>
      <w:r>
        <w:t xml:space="preserve"> Agio: bedrag dat op aandelen wordt gestort boven het nominale bedrag (EY Handboek p. 367)</w:t>
      </w:r>
    </w:p>
  </w:footnote>
  <w:footnote w:id="115">
    <w:p w:rsidR="009A0204" w:rsidRDefault="009A0204" w:rsidP="00780824">
      <w:pPr>
        <w:pStyle w:val="Voetnoottekst"/>
      </w:pPr>
      <w:r>
        <w:rPr>
          <w:rStyle w:val="Voetnootmarkering"/>
        </w:rPr>
        <w:footnoteRef/>
      </w:r>
      <w:r>
        <w:t xml:space="preserve"> Herwaarderingsreserves, andere wettelijke reserves, statutaire reserves en overige reserves</w:t>
      </w:r>
    </w:p>
  </w:footnote>
  <w:footnote w:id="116">
    <w:p w:rsidR="009A0204" w:rsidRDefault="009A0204" w:rsidP="00780824">
      <w:pPr>
        <w:pStyle w:val="Voetnoottekst"/>
      </w:pPr>
      <w:r>
        <w:rPr>
          <w:rStyle w:val="Voetnootmarkering"/>
        </w:rPr>
        <w:footnoteRef/>
      </w:r>
      <w:r>
        <w:t xml:space="preserve"> IAS 1.77 – 1.79</w:t>
      </w:r>
    </w:p>
  </w:footnote>
  <w:footnote w:id="117">
    <w:p w:rsidR="009A0204" w:rsidRDefault="009A0204" w:rsidP="00780824">
      <w:pPr>
        <w:pStyle w:val="Voetnoottekst"/>
      </w:pPr>
      <w:r>
        <w:rPr>
          <w:rStyle w:val="Voetnootmarkering"/>
        </w:rPr>
        <w:footnoteRef/>
      </w:r>
      <w:r>
        <w:t xml:space="preserve"> O.a. herwaarderingsreserve, reserve ingehouden winst deelnemingen. Zie 2:373 lid 4 BW</w:t>
      </w:r>
    </w:p>
  </w:footnote>
  <w:footnote w:id="118">
    <w:p w:rsidR="009A0204" w:rsidRDefault="009A0204" w:rsidP="00780824">
      <w:pPr>
        <w:pStyle w:val="Voetnoottekst"/>
      </w:pPr>
      <w:r>
        <w:rPr>
          <w:rStyle w:val="Voetnootmarkering"/>
        </w:rPr>
        <w:footnoteRef/>
      </w:r>
      <w:r>
        <w:t xml:space="preserve"> EY Handboek p. 872</w:t>
      </w:r>
    </w:p>
  </w:footnote>
  <w:footnote w:id="119">
    <w:p w:rsidR="009A0204" w:rsidRPr="003F0659" w:rsidRDefault="009A0204" w:rsidP="00780824">
      <w:pPr>
        <w:pStyle w:val="Voetnoottekst"/>
      </w:pPr>
      <w:r>
        <w:rPr>
          <w:rStyle w:val="Voetnootmarkering"/>
        </w:rPr>
        <w:footnoteRef/>
      </w:r>
      <w:r w:rsidRPr="003F0659">
        <w:t xml:space="preserve"> IASB </w:t>
      </w:r>
      <w:proofErr w:type="spellStart"/>
      <w:r w:rsidRPr="003F0659">
        <w:t>Framework</w:t>
      </w:r>
      <w:proofErr w:type="spellEnd"/>
      <w:r w:rsidRPr="003F0659">
        <w:t>, par. 49c, IAS 32.15</w:t>
      </w:r>
    </w:p>
  </w:footnote>
  <w:footnote w:id="120">
    <w:p w:rsidR="009A0204" w:rsidRDefault="009A0204" w:rsidP="00780824">
      <w:pPr>
        <w:pStyle w:val="Voetnoottekst"/>
      </w:pPr>
      <w:r>
        <w:rPr>
          <w:rStyle w:val="Voetnootmarkering"/>
        </w:rPr>
        <w:footnoteRef/>
      </w:r>
      <w:r>
        <w:t xml:space="preserve"> RJ 240.207</w:t>
      </w:r>
    </w:p>
  </w:footnote>
  <w:footnote w:id="121">
    <w:p w:rsidR="009A0204" w:rsidRDefault="009A0204" w:rsidP="00780824">
      <w:pPr>
        <w:pStyle w:val="Voetnoottekst"/>
      </w:pPr>
      <w:r>
        <w:rPr>
          <w:rStyle w:val="Voetnootmarkering"/>
        </w:rPr>
        <w:footnoteRef/>
      </w:r>
      <w:r>
        <w:t xml:space="preserve"> RJ 240.302</w:t>
      </w:r>
    </w:p>
  </w:footnote>
  <w:footnote w:id="122">
    <w:p w:rsidR="009A0204" w:rsidRDefault="009A0204" w:rsidP="00780824">
      <w:pPr>
        <w:pStyle w:val="Voetnoottekst"/>
      </w:pPr>
      <w:r>
        <w:rPr>
          <w:rStyle w:val="Voetnootmarkering"/>
        </w:rPr>
        <w:footnoteRef/>
      </w:r>
      <w:r>
        <w:t xml:space="preserve"> IFRS SME 4.2</w:t>
      </w:r>
    </w:p>
  </w:footnote>
  <w:footnote w:id="123">
    <w:p w:rsidR="009A0204" w:rsidRDefault="009A0204" w:rsidP="00780824">
      <w:pPr>
        <w:pStyle w:val="Voetnoottekst"/>
      </w:pPr>
      <w:r>
        <w:rPr>
          <w:rStyle w:val="Voetnootmarkering"/>
        </w:rPr>
        <w:footnoteRef/>
      </w:r>
      <w:r>
        <w:t xml:space="preserve"> RJ 252.501</w:t>
      </w:r>
    </w:p>
  </w:footnote>
  <w:footnote w:id="124">
    <w:p w:rsidR="009A0204" w:rsidRDefault="009A0204" w:rsidP="00780824">
      <w:pPr>
        <w:pStyle w:val="Voetnoottekst"/>
      </w:pPr>
      <w:r>
        <w:rPr>
          <w:rStyle w:val="Voetnootmarkering"/>
        </w:rPr>
        <w:footnoteRef/>
      </w:r>
      <w:r>
        <w:t xml:space="preserve"> RJ 252.110</w:t>
      </w:r>
    </w:p>
  </w:footnote>
  <w:footnote w:id="125">
    <w:p w:rsidR="009A0204" w:rsidRPr="00EB5C19" w:rsidRDefault="009A0204" w:rsidP="00780824">
      <w:pPr>
        <w:pStyle w:val="Voetnoottekst"/>
      </w:pPr>
      <w:r>
        <w:rPr>
          <w:rStyle w:val="Voetnootmarkering"/>
        </w:rPr>
        <w:footnoteRef/>
      </w:r>
      <w:r w:rsidRPr="00EB5C19">
        <w:t xml:space="preserve"> IAS 37.10, RJ 252.110, IFRS SME 21.6</w:t>
      </w:r>
    </w:p>
  </w:footnote>
  <w:footnote w:id="126">
    <w:p w:rsidR="009A0204" w:rsidRPr="00EB5C19" w:rsidRDefault="009A0204" w:rsidP="00780824">
      <w:pPr>
        <w:pStyle w:val="Voetnoottekst"/>
      </w:pPr>
      <w:r>
        <w:rPr>
          <w:rStyle w:val="Voetnootmarkering"/>
        </w:rPr>
        <w:footnoteRef/>
      </w:r>
      <w:r w:rsidRPr="00EB5C19">
        <w:t xml:space="preserve"> IAS 37.14, RJ 252.201, IFRS SME 21.6</w:t>
      </w:r>
    </w:p>
  </w:footnote>
  <w:footnote w:id="127">
    <w:p w:rsidR="009A0204" w:rsidRDefault="009A0204" w:rsidP="00780824">
      <w:pPr>
        <w:pStyle w:val="Voetnoottekst"/>
      </w:pPr>
      <w:r>
        <w:rPr>
          <w:rStyle w:val="Voetnootmarkering"/>
        </w:rPr>
        <w:footnoteRef/>
      </w:r>
      <w:r>
        <w:t xml:space="preserve"> IAS 37.10, RJ 252.110, IFRS SME 21.4</w:t>
      </w:r>
    </w:p>
  </w:footnote>
  <w:footnote w:id="128">
    <w:p w:rsidR="009A0204" w:rsidRDefault="009A0204" w:rsidP="00780824">
      <w:pPr>
        <w:pStyle w:val="Voetnoottekst"/>
      </w:pPr>
      <w:r>
        <w:rPr>
          <w:rStyle w:val="Voetnootmarkering"/>
        </w:rPr>
        <w:footnoteRef/>
      </w:r>
      <w:r>
        <w:t xml:space="preserve"> Materieel verschil: een verschil dat kan leiden tot andere beslissingen door gebruikers van de jaarrekening</w:t>
      </w:r>
    </w:p>
  </w:footnote>
  <w:footnote w:id="129">
    <w:p w:rsidR="009A0204" w:rsidRPr="00EB5C19" w:rsidRDefault="009A0204" w:rsidP="00780824">
      <w:pPr>
        <w:pStyle w:val="Voetnoottekst"/>
      </w:pPr>
      <w:r>
        <w:rPr>
          <w:rStyle w:val="Voetnootmarkering"/>
        </w:rPr>
        <w:footnoteRef/>
      </w:r>
      <w:r w:rsidRPr="00EB5C19">
        <w:t xml:space="preserve"> IAS 37.45</w:t>
      </w:r>
    </w:p>
  </w:footnote>
  <w:footnote w:id="130">
    <w:p w:rsidR="009A0204" w:rsidRPr="00EB5C19" w:rsidRDefault="009A0204" w:rsidP="00780824">
      <w:pPr>
        <w:pStyle w:val="Voetnoottekst"/>
      </w:pPr>
      <w:r>
        <w:rPr>
          <w:rStyle w:val="Voetnootmarkering"/>
        </w:rPr>
        <w:footnoteRef/>
      </w:r>
      <w:r w:rsidRPr="00EB5C19">
        <w:t xml:space="preserve"> RJ 252.306</w:t>
      </w:r>
    </w:p>
  </w:footnote>
  <w:footnote w:id="131">
    <w:p w:rsidR="009A0204" w:rsidRPr="00997FE5" w:rsidRDefault="009A0204" w:rsidP="00780824">
      <w:pPr>
        <w:pStyle w:val="Voetnoottekst"/>
        <w:rPr>
          <w:color w:val="FF0000"/>
        </w:rPr>
      </w:pPr>
      <w:r>
        <w:rPr>
          <w:rStyle w:val="Voetnootmarkering"/>
        </w:rPr>
        <w:footnoteRef/>
      </w:r>
      <w:r>
        <w:t xml:space="preserve"> Zie </w:t>
      </w:r>
      <w:r>
        <w:rPr>
          <w:rStyle w:val="st"/>
        </w:rPr>
        <w:t>§4.3.1 onderdeel materiële vaste activa voor uitleg componentenbenadering</w:t>
      </w:r>
    </w:p>
  </w:footnote>
  <w:footnote w:id="132">
    <w:p w:rsidR="009A0204" w:rsidRPr="003F0659" w:rsidRDefault="009A0204" w:rsidP="00780824">
      <w:pPr>
        <w:pStyle w:val="Voetnoottekst"/>
        <w:rPr>
          <w:lang w:val="en-US"/>
        </w:rPr>
      </w:pPr>
      <w:r>
        <w:rPr>
          <w:rStyle w:val="Voetnootmarkering"/>
        </w:rPr>
        <w:footnoteRef/>
      </w:r>
      <w:r w:rsidRPr="003F0659">
        <w:rPr>
          <w:lang w:val="en-US"/>
        </w:rPr>
        <w:t xml:space="preserve"> IFRS SME 11.36</w:t>
      </w:r>
    </w:p>
  </w:footnote>
  <w:footnote w:id="133">
    <w:p w:rsidR="009A0204" w:rsidRPr="003F0659" w:rsidRDefault="009A0204" w:rsidP="00780824">
      <w:pPr>
        <w:pStyle w:val="Voetnoottekst"/>
        <w:rPr>
          <w:lang w:val="en-US"/>
        </w:rPr>
      </w:pPr>
      <w:r>
        <w:rPr>
          <w:rStyle w:val="Voetnootmarkering"/>
        </w:rPr>
        <w:footnoteRef/>
      </w:r>
      <w:r w:rsidRPr="003F0659">
        <w:rPr>
          <w:lang w:val="en-US"/>
        </w:rPr>
        <w:t xml:space="preserve"> IFRS SME 4.2</w:t>
      </w:r>
    </w:p>
  </w:footnote>
  <w:footnote w:id="134">
    <w:p w:rsidR="009A0204" w:rsidRPr="003F0659" w:rsidRDefault="009A0204" w:rsidP="00780824">
      <w:pPr>
        <w:pStyle w:val="Voetnoottekst"/>
        <w:rPr>
          <w:lang w:val="en-US"/>
        </w:rPr>
      </w:pPr>
      <w:r>
        <w:rPr>
          <w:rStyle w:val="Voetnootmarkering"/>
        </w:rPr>
        <w:footnoteRef/>
      </w:r>
      <w:r w:rsidRPr="003F0659">
        <w:rPr>
          <w:lang w:val="en-US"/>
        </w:rPr>
        <w:t xml:space="preserve"> IAS 1.54</w:t>
      </w:r>
    </w:p>
  </w:footnote>
  <w:footnote w:id="135">
    <w:p w:rsidR="009A0204" w:rsidRPr="003F0659" w:rsidRDefault="009A0204" w:rsidP="00780824">
      <w:pPr>
        <w:pStyle w:val="Voetnoottekst"/>
        <w:rPr>
          <w:lang w:val="en-US"/>
        </w:rPr>
      </w:pPr>
      <w:r>
        <w:rPr>
          <w:rStyle w:val="Voetnootmarkering"/>
        </w:rPr>
        <w:footnoteRef/>
      </w:r>
      <w:r w:rsidRPr="003F0659">
        <w:rPr>
          <w:lang w:val="en-US"/>
        </w:rPr>
        <w:t xml:space="preserve"> IFRS SME 5.5, IAS 1.82</w:t>
      </w:r>
    </w:p>
  </w:footnote>
  <w:footnote w:id="136">
    <w:p w:rsidR="009A0204" w:rsidRDefault="009A0204" w:rsidP="00780824">
      <w:pPr>
        <w:pStyle w:val="Voetnoottekst"/>
      </w:pPr>
      <w:r>
        <w:rPr>
          <w:rStyle w:val="Voetnootmarkering"/>
        </w:rPr>
        <w:footnoteRef/>
      </w:r>
      <w:r w:rsidRPr="003F0659">
        <w:rPr>
          <w:lang w:val="en-US"/>
        </w:rPr>
        <w:t xml:space="preserve"> IFRS SME 5.4, IAS 1.7, IAS 1.7. </w:t>
      </w:r>
      <w:r>
        <w:t>Keuze: IAS 1.81</w:t>
      </w:r>
    </w:p>
  </w:footnote>
  <w:footnote w:id="137">
    <w:p w:rsidR="009A0204" w:rsidRDefault="009A0204" w:rsidP="00780824">
      <w:pPr>
        <w:pStyle w:val="Voetnoottekst"/>
      </w:pPr>
      <w:r>
        <w:rPr>
          <w:rStyle w:val="Voetnootmarkering"/>
        </w:rPr>
        <w:footnoteRef/>
      </w:r>
      <w:r>
        <w:t xml:space="preserve"> EY Handboek, p. 637</w:t>
      </w:r>
    </w:p>
  </w:footnote>
  <w:footnote w:id="138">
    <w:p w:rsidR="009A0204" w:rsidRPr="003F0659" w:rsidRDefault="009A0204" w:rsidP="00780824">
      <w:pPr>
        <w:pStyle w:val="Voetnoottekst"/>
        <w:rPr>
          <w:lang w:val="en-US"/>
        </w:rPr>
      </w:pPr>
      <w:r>
        <w:rPr>
          <w:rStyle w:val="Voetnootmarkering"/>
        </w:rPr>
        <w:footnoteRef/>
      </w:r>
      <w:r w:rsidRPr="003F0659">
        <w:rPr>
          <w:lang w:val="en-US"/>
        </w:rPr>
        <w:t xml:space="preserve"> RJ 217.201</w:t>
      </w:r>
    </w:p>
  </w:footnote>
  <w:footnote w:id="139">
    <w:p w:rsidR="009A0204" w:rsidRPr="003F0659" w:rsidRDefault="009A0204" w:rsidP="00780824">
      <w:pPr>
        <w:pStyle w:val="Voetnoottekst"/>
        <w:rPr>
          <w:lang w:val="en-US"/>
        </w:rPr>
      </w:pPr>
      <w:r>
        <w:rPr>
          <w:rStyle w:val="Voetnootmarkering"/>
        </w:rPr>
        <w:footnoteRef/>
      </w:r>
      <w:r w:rsidRPr="003F0659">
        <w:rPr>
          <w:lang w:val="en-US"/>
        </w:rPr>
        <w:t xml:space="preserve"> IFRS SME 9.2 en 9.4</w:t>
      </w:r>
    </w:p>
  </w:footnote>
  <w:footnote w:id="140">
    <w:p w:rsidR="009A0204" w:rsidRPr="003F0659" w:rsidRDefault="009A0204" w:rsidP="00780824">
      <w:pPr>
        <w:pStyle w:val="Voetnoottekst"/>
        <w:rPr>
          <w:lang w:val="en-US"/>
        </w:rPr>
      </w:pPr>
      <w:r>
        <w:rPr>
          <w:rStyle w:val="Voetnootmarkering"/>
        </w:rPr>
        <w:footnoteRef/>
      </w:r>
      <w:r w:rsidRPr="003F0659">
        <w:rPr>
          <w:lang w:val="en-US"/>
        </w:rPr>
        <w:t xml:space="preserve"> ‘separate financial statements’</w:t>
      </w:r>
    </w:p>
  </w:footnote>
  <w:footnote w:id="141">
    <w:p w:rsidR="009A0204" w:rsidRDefault="009A0204" w:rsidP="00780824">
      <w:pPr>
        <w:pStyle w:val="Voetnoottekst"/>
      </w:pPr>
      <w:r>
        <w:rPr>
          <w:rStyle w:val="Voetnootmarkering"/>
        </w:rPr>
        <w:footnoteRef/>
      </w:r>
      <w:r>
        <w:t xml:space="preserve"> IFRS SME 9.24. Dit geldt ook onder full IFRS – IAS 28.3</w:t>
      </w:r>
    </w:p>
  </w:footnote>
  <w:footnote w:id="142">
    <w:p w:rsidR="009A0204" w:rsidRDefault="009A0204" w:rsidP="00780824">
      <w:pPr>
        <w:pStyle w:val="Voetnoottekst"/>
      </w:pPr>
      <w:r>
        <w:rPr>
          <w:rStyle w:val="Voetnootmarkering"/>
        </w:rPr>
        <w:footnoteRef/>
      </w:r>
      <w:r>
        <w:t xml:space="preserve"> Bijvoorbeeld door eliminatie van </w:t>
      </w:r>
      <w:proofErr w:type="spellStart"/>
      <w:r>
        <w:t>intercompany-transacties</w:t>
      </w:r>
      <w:proofErr w:type="spellEnd"/>
    </w:p>
  </w:footnote>
  <w:footnote w:id="143">
    <w:p w:rsidR="009A0204" w:rsidRDefault="009A0204" w:rsidP="00780824">
      <w:pPr>
        <w:pStyle w:val="Voetnoottekst"/>
      </w:pPr>
      <w:r>
        <w:rPr>
          <w:rStyle w:val="Voetnootmarkering"/>
        </w:rPr>
        <w:footnoteRef/>
      </w:r>
      <w:r>
        <w:t xml:space="preserve"> EY Handboek, p. 666</w:t>
      </w:r>
    </w:p>
  </w:footnote>
  <w:footnote w:id="144">
    <w:p w:rsidR="009A0204" w:rsidRDefault="009A0204" w:rsidP="00780824">
      <w:pPr>
        <w:pStyle w:val="Voetnoottekst"/>
      </w:pPr>
      <w:r>
        <w:rPr>
          <w:rStyle w:val="Voetnootmarkering"/>
        </w:rPr>
        <w:footnoteRef/>
      </w:r>
      <w:r>
        <w:t xml:space="preserve"> IFRS SME 35.4</w:t>
      </w:r>
    </w:p>
  </w:footnote>
  <w:footnote w:id="145">
    <w:p w:rsidR="009A0204" w:rsidRPr="00177B55" w:rsidRDefault="009A0204" w:rsidP="00780824">
      <w:pPr>
        <w:pStyle w:val="Voetnoottekst"/>
      </w:pPr>
      <w:r>
        <w:rPr>
          <w:rStyle w:val="Voetnootmarkering"/>
        </w:rPr>
        <w:footnoteRef/>
      </w:r>
      <w:r>
        <w:t xml:space="preserve"> </w:t>
      </w:r>
      <w:r w:rsidRPr="00177B55">
        <w:t>IFRS SME 35.6</w:t>
      </w:r>
    </w:p>
  </w:footnote>
  <w:footnote w:id="146">
    <w:p w:rsidR="009A0204" w:rsidRDefault="009A0204" w:rsidP="00780824">
      <w:pPr>
        <w:pStyle w:val="Voetnoottekst"/>
      </w:pPr>
      <w:r>
        <w:rPr>
          <w:rStyle w:val="Voetnootmarkering"/>
        </w:rPr>
        <w:footnoteRef/>
      </w:r>
      <w:r>
        <w:t xml:space="preserve"> Dus onder meer balans, resultatenrekening, kasstroomoverzicht en toelichting</w:t>
      </w:r>
    </w:p>
  </w:footnote>
  <w:footnote w:id="147">
    <w:p w:rsidR="009A0204" w:rsidRDefault="009A0204" w:rsidP="00780824">
      <w:pPr>
        <w:pStyle w:val="Voetnoottekst"/>
      </w:pPr>
      <w:r>
        <w:rPr>
          <w:rStyle w:val="Voetnootmarkering"/>
        </w:rPr>
        <w:footnoteRef/>
      </w:r>
      <w:r>
        <w:t xml:space="preserve"> IFRS SME 35.6. </w:t>
      </w:r>
    </w:p>
  </w:footnote>
  <w:footnote w:id="148">
    <w:p w:rsidR="009A0204" w:rsidRDefault="009A0204" w:rsidP="00780824">
      <w:pPr>
        <w:pStyle w:val="Voetnoottekst"/>
      </w:pPr>
      <w:r>
        <w:rPr>
          <w:rStyle w:val="Voetnootmarkering"/>
        </w:rPr>
        <w:footnoteRef/>
      </w:r>
      <w:r>
        <w:t xml:space="preserve"> Dezelfde eis is overigens van kracht bij eerste toepassing van full IFRS (Handboek EY, p. 108)</w:t>
      </w:r>
    </w:p>
  </w:footnote>
  <w:footnote w:id="149">
    <w:p w:rsidR="009A0204" w:rsidRDefault="009A0204" w:rsidP="00780824">
      <w:pPr>
        <w:pStyle w:val="Voetnoottekst"/>
      </w:pPr>
      <w:r>
        <w:rPr>
          <w:rStyle w:val="Voetnootmarkering"/>
        </w:rPr>
        <w:footnoteRef/>
      </w:r>
      <w:r>
        <w:t xml:space="preserve"> Bijvoorbeeld door andere waarderingsgrondslagen, activa en passiva die wel/niet mogen worden opgenomen onder IFRS SME (IFRS SME 35.7)</w:t>
      </w:r>
    </w:p>
  </w:footnote>
  <w:footnote w:id="150">
    <w:p w:rsidR="009A0204" w:rsidRDefault="009A0204" w:rsidP="00780824">
      <w:pPr>
        <w:pStyle w:val="Voetnoottekst"/>
      </w:pPr>
      <w:r>
        <w:rPr>
          <w:rStyle w:val="Voetnootmarkering"/>
        </w:rPr>
        <w:footnoteRef/>
      </w:r>
      <w:r>
        <w:t xml:space="preserve"> IFRS SME 35.8</w:t>
      </w:r>
    </w:p>
  </w:footnote>
  <w:footnote w:id="151">
    <w:p w:rsidR="009A0204" w:rsidRDefault="009A0204" w:rsidP="00780824">
      <w:pPr>
        <w:pStyle w:val="Voetnoottekst"/>
      </w:pPr>
      <w:r>
        <w:rPr>
          <w:rStyle w:val="Voetnootmarkering"/>
        </w:rPr>
        <w:footnoteRef/>
      </w:r>
      <w:r>
        <w:t xml:space="preserve"> De administratieve belasting speelt natuurlijk ook in het geval dat toepassing van IFRS SME verplicht wordt, maar ondernemingen kunnen er dan simpelweg niet onderuit komen. </w:t>
      </w:r>
    </w:p>
  </w:footnote>
  <w:footnote w:id="152">
    <w:p w:rsidR="009A0204" w:rsidRPr="009222AB" w:rsidRDefault="009A0204" w:rsidP="00780824">
      <w:pPr>
        <w:pStyle w:val="Voetnoottekst"/>
        <w:rPr>
          <w:lang w:val="en-US"/>
        </w:rPr>
      </w:pPr>
      <w:r>
        <w:rPr>
          <w:rStyle w:val="Voetnootmarkering"/>
        </w:rPr>
        <w:footnoteRef/>
      </w:r>
      <w:r>
        <w:rPr>
          <w:lang w:val="en-US"/>
        </w:rPr>
        <w:t xml:space="preserve"> Press release “</w:t>
      </w:r>
      <w:r w:rsidRPr="009222AB">
        <w:rPr>
          <w:lang w:val="en-US"/>
        </w:rPr>
        <w:t>IASB publishes IFRS for SMEs</w:t>
      </w:r>
      <w:r>
        <w:rPr>
          <w:lang w:val="en-US"/>
        </w:rPr>
        <w:t xml:space="preserve">” </w:t>
      </w:r>
    </w:p>
  </w:footnote>
  <w:footnote w:id="153">
    <w:p w:rsidR="009A0204" w:rsidRPr="00B37989" w:rsidRDefault="009A0204" w:rsidP="00780824">
      <w:pPr>
        <w:spacing w:after="0"/>
        <w:rPr>
          <w:rFonts w:cstheme="minorHAnsi"/>
          <w:sz w:val="20"/>
          <w:szCs w:val="20"/>
        </w:rPr>
      </w:pPr>
      <w:r w:rsidRPr="00EE0D3C">
        <w:rPr>
          <w:rStyle w:val="Voetnootmarkering"/>
          <w:rFonts w:cstheme="minorHAnsi"/>
        </w:rPr>
        <w:footnoteRef/>
      </w:r>
      <w:r w:rsidRPr="00B37989">
        <w:rPr>
          <w:rFonts w:cstheme="minorHAnsi"/>
          <w:sz w:val="20"/>
          <w:szCs w:val="20"/>
        </w:rPr>
        <w:t xml:space="preserve"> </w:t>
      </w:r>
      <w:proofErr w:type="spellStart"/>
      <w:r w:rsidRPr="00B37989">
        <w:rPr>
          <w:rFonts w:cstheme="minorHAnsi"/>
          <w:sz w:val="20"/>
          <w:szCs w:val="20"/>
        </w:rPr>
        <w:t>XBRL-taxonomieën</w:t>
      </w:r>
      <w:proofErr w:type="spellEnd"/>
      <w:r w:rsidRPr="00B37989">
        <w:rPr>
          <w:rFonts w:cstheme="minorHAnsi"/>
          <w:sz w:val="20"/>
          <w:szCs w:val="20"/>
        </w:rPr>
        <w:t xml:space="preserve"> geven beeld van </w:t>
      </w:r>
      <w:r>
        <w:rPr>
          <w:rFonts w:cstheme="minorHAnsi"/>
          <w:sz w:val="20"/>
          <w:szCs w:val="20"/>
        </w:rPr>
        <w:t xml:space="preserve">administratieve lasten IFRS SME, via: </w:t>
      </w:r>
      <w:hyperlink r:id="rId17" w:history="1">
        <w:r w:rsidRPr="001D2A82">
          <w:rPr>
            <w:rStyle w:val="Hyperlink"/>
            <w:rFonts w:cstheme="minorHAnsi"/>
            <w:sz w:val="20"/>
            <w:szCs w:val="20"/>
          </w:rPr>
          <w:t>http://www.accountancynieuws.nl/actueel/vaktechniek/xbrl-taxonomieen-geven-beeld-van-administratieve.91137.lynkx</w:t>
        </w:r>
      </w:hyperlink>
      <w:r>
        <w:rPr>
          <w:rFonts w:cstheme="minorHAnsi"/>
          <w:sz w:val="20"/>
          <w:szCs w:val="20"/>
        </w:rPr>
        <w:t xml:space="preserve"> </w:t>
      </w:r>
    </w:p>
  </w:footnote>
  <w:footnote w:id="154">
    <w:p w:rsidR="009A0204" w:rsidRDefault="009A0204" w:rsidP="00780824">
      <w:pPr>
        <w:pStyle w:val="Voetnoottekst"/>
      </w:pPr>
      <w:r>
        <w:rPr>
          <w:rStyle w:val="Voetnootmarkering"/>
        </w:rPr>
        <w:footnoteRef/>
      </w:r>
      <w:r>
        <w:t xml:space="preserve"> Ibidem – bijvoorbeeld alleen kostprijs bij </w:t>
      </w:r>
      <w:proofErr w:type="spellStart"/>
      <w:r>
        <w:t>investment</w:t>
      </w:r>
      <w:proofErr w:type="spellEnd"/>
      <w:r>
        <w:t xml:space="preserve"> </w:t>
      </w:r>
      <w:proofErr w:type="spellStart"/>
      <w:r>
        <w:t>property</w:t>
      </w:r>
      <w:proofErr w:type="spellEnd"/>
      <w:r>
        <w:t>.</w:t>
      </w:r>
    </w:p>
  </w:footnote>
  <w:footnote w:id="155">
    <w:p w:rsidR="009A0204" w:rsidRDefault="009A0204" w:rsidP="00780824">
      <w:pPr>
        <w:pStyle w:val="Voetnoottekst"/>
      </w:pPr>
      <w:r>
        <w:rPr>
          <w:rStyle w:val="Voetnootmarkering"/>
        </w:rPr>
        <w:footnoteRef/>
      </w:r>
      <w:r>
        <w:t xml:space="preserve"> Ibidem </w:t>
      </w:r>
    </w:p>
  </w:footnote>
  <w:footnote w:id="156">
    <w:p w:rsidR="009A0204" w:rsidRDefault="009A0204" w:rsidP="00780824">
      <w:pPr>
        <w:pStyle w:val="Voetnoottekst"/>
      </w:pPr>
      <w:r>
        <w:rPr>
          <w:rStyle w:val="Voetnootmarkering"/>
        </w:rPr>
        <w:footnoteRef/>
      </w:r>
      <w:r>
        <w:t xml:space="preserve"> Jaarverslaggeving MKB in beweging (</w:t>
      </w:r>
      <w:proofErr w:type="spellStart"/>
      <w:r>
        <w:t>Vergoossen</w:t>
      </w:r>
      <w:proofErr w:type="spellEnd"/>
      <w:r>
        <w:t>)</w:t>
      </w:r>
    </w:p>
  </w:footnote>
  <w:footnote w:id="157">
    <w:p w:rsidR="009A0204" w:rsidRDefault="009A0204" w:rsidP="00780824">
      <w:pPr>
        <w:pStyle w:val="Voetnoottekst"/>
      </w:pPr>
      <w:r>
        <w:rPr>
          <w:rStyle w:val="Voetnootmarkering"/>
        </w:rPr>
        <w:footnoteRef/>
      </w:r>
      <w:r>
        <w:t xml:space="preserve"> Deloitte. Toepassing van IFRS </w:t>
      </w:r>
      <w:proofErr w:type="spellStart"/>
      <w:r>
        <w:t>SMEs</w:t>
      </w:r>
      <w:proofErr w:type="spellEnd"/>
      <w:r>
        <w:t xml:space="preserve"> kan leiden tot een lager vermogen</w:t>
      </w:r>
    </w:p>
  </w:footnote>
  <w:footnote w:id="158">
    <w:p w:rsidR="009A0204" w:rsidRDefault="009A0204" w:rsidP="00780824">
      <w:pPr>
        <w:pStyle w:val="Voetnoottekst"/>
      </w:pPr>
      <w:r>
        <w:rPr>
          <w:rStyle w:val="Voetnootmarkering"/>
        </w:rPr>
        <w:footnoteRef/>
      </w:r>
      <w:r>
        <w:t xml:space="preserve"> Zie hoofdstuk 4 MVA en IVA</w:t>
      </w:r>
    </w:p>
  </w:footnote>
  <w:footnote w:id="159">
    <w:p w:rsidR="009A0204" w:rsidRDefault="009A0204" w:rsidP="00780824">
      <w:pPr>
        <w:pStyle w:val="Voetnoottekst"/>
      </w:pPr>
      <w:r>
        <w:rPr>
          <w:rStyle w:val="Voetnootmarkering"/>
        </w:rPr>
        <w:footnoteRef/>
      </w:r>
      <w:r>
        <w:t xml:space="preserve"> Zie hoofdstuk 4 MVA</w:t>
      </w:r>
    </w:p>
  </w:footnote>
  <w:footnote w:id="160">
    <w:p w:rsidR="009A0204" w:rsidRDefault="009A0204" w:rsidP="00780824">
      <w:pPr>
        <w:pStyle w:val="Voetnoottekst"/>
      </w:pPr>
      <w:r>
        <w:rPr>
          <w:rStyle w:val="Voetnootmarkering"/>
        </w:rPr>
        <w:footnoteRef/>
      </w:r>
      <w:r>
        <w:t xml:space="preserve"> Zie hoofdstuk 4 IVA</w:t>
      </w:r>
    </w:p>
  </w:footnote>
  <w:footnote w:id="161">
    <w:p w:rsidR="009A0204" w:rsidRDefault="009A0204" w:rsidP="00780824">
      <w:pPr>
        <w:pStyle w:val="Voetnoottekst"/>
      </w:pPr>
      <w:r>
        <w:rPr>
          <w:rStyle w:val="Voetnootmarkering"/>
        </w:rPr>
        <w:footnoteRef/>
      </w:r>
      <w:r>
        <w:t xml:space="preserve"> Op dit moment niet mogelijk voor zover IFRS SME strijdig is met Dutch GAAP, maar voor deze toelichting ga ik er van uit dat toepassing van IFRS SME is toegestaan door de Nederlandse wetgever.</w:t>
      </w:r>
    </w:p>
  </w:footnote>
  <w:footnote w:id="162">
    <w:p w:rsidR="009A0204" w:rsidRDefault="009A0204" w:rsidP="00780824">
      <w:pPr>
        <w:pStyle w:val="Voetnoottekst"/>
      </w:pPr>
      <w:r>
        <w:rPr>
          <w:rStyle w:val="Voetnootmarkering"/>
        </w:rPr>
        <w:footnoteRef/>
      </w:r>
      <w:r>
        <w:t xml:space="preserve"> Toegestaan: vervangingswaarde of bedrijfswaarde als deze lager is, opbrengstwaarde als het actief verkocht zal worden (2:384 lid 1, Besluit Actuele Waarde)</w:t>
      </w:r>
    </w:p>
  </w:footnote>
  <w:footnote w:id="163">
    <w:p w:rsidR="009A0204" w:rsidRDefault="009A0204" w:rsidP="00780824">
      <w:pPr>
        <w:pStyle w:val="Voetnoottekst"/>
      </w:pPr>
      <w:r>
        <w:rPr>
          <w:rStyle w:val="Voetnootmarkering"/>
        </w:rPr>
        <w:footnoteRef/>
      </w:r>
      <w:r>
        <w:t xml:space="preserve"> Herwaardering in eerste instantie: €200.000. Afschrijving over actuele waarde: €1,2 miljoen / 10 = €120.000. Herwaarderingsreserve: €200.000 - €120.000 = €80.000. Verwerking afschrijving via resultatenrekening.</w:t>
      </w:r>
    </w:p>
  </w:footnote>
  <w:footnote w:id="164">
    <w:p w:rsidR="009A0204" w:rsidRDefault="009A0204" w:rsidP="00780824">
      <w:pPr>
        <w:pStyle w:val="Voetnoottekst"/>
      </w:pPr>
      <w:r>
        <w:rPr>
          <w:rStyle w:val="Voetnootmarkering"/>
        </w:rPr>
        <w:footnoteRef/>
      </w:r>
      <w:r>
        <w:t xml:space="preserve"> Afschrijving via resultatenrekening: €1 miljoen / 10 = €100.000</w:t>
      </w:r>
    </w:p>
  </w:footnote>
  <w:footnote w:id="165">
    <w:p w:rsidR="009A0204" w:rsidRDefault="009A0204" w:rsidP="00780824">
      <w:pPr>
        <w:pStyle w:val="Voetnoottekst"/>
      </w:pPr>
      <w:r>
        <w:rPr>
          <w:rStyle w:val="Voetnootmarkering"/>
        </w:rPr>
        <w:footnoteRef/>
      </w:r>
      <w:r>
        <w:t xml:space="preserve"> Verschil tussen €500.000 en €100.000 volledig aan prijsstijgingen toe te rekenen, dus verwerkt via herwaarderingsreserve (2:390 lid 1 BW)</w:t>
      </w:r>
    </w:p>
  </w:footnote>
  <w:footnote w:id="166">
    <w:p w:rsidR="009A0204" w:rsidRDefault="009A0204" w:rsidP="00780824">
      <w:pPr>
        <w:pStyle w:val="Voetnoottekst"/>
      </w:pPr>
      <w:r>
        <w:rPr>
          <w:rStyle w:val="Voetnootmarkering"/>
        </w:rPr>
        <w:footnoteRef/>
      </w:r>
      <w:r>
        <w:t xml:space="preserve"> Dit verschil vloeit voort uit de reserve onverdeelde winst, die is €100.000 lager bij IFRS SME doordat de afschrijving over de inventaris daar via de resultatenrekening loopt. </w:t>
      </w:r>
    </w:p>
  </w:footnote>
  <w:footnote w:id="167">
    <w:p w:rsidR="009A0204" w:rsidRDefault="009A0204" w:rsidP="00780824">
      <w:pPr>
        <w:pStyle w:val="Voetnoottekst"/>
      </w:pPr>
      <w:r>
        <w:rPr>
          <w:rStyle w:val="Voetnootmarkering"/>
        </w:rPr>
        <w:footnoteRef/>
      </w:r>
      <w:r>
        <w:t xml:space="preserve"> Voorraden (€400.000) + Inventaris (€80.000)</w:t>
      </w:r>
    </w:p>
  </w:footnote>
  <w:footnote w:id="168">
    <w:p w:rsidR="009A0204" w:rsidRDefault="009A0204" w:rsidP="00780824">
      <w:pPr>
        <w:pStyle w:val="Voetnoottekst"/>
      </w:pPr>
      <w:r>
        <w:rPr>
          <w:rStyle w:val="Voetnootmarkering"/>
        </w:rPr>
        <w:footnoteRef/>
      </w:r>
      <w:r>
        <w:t xml:space="preserve"> Solvabiliteit: eigen vermogen / totaal vermogen x 100 % (MKB Servicedesk) </w:t>
      </w:r>
    </w:p>
    <w:p w:rsidR="009A0204" w:rsidRDefault="009A0204" w:rsidP="00780824">
      <w:pPr>
        <w:pStyle w:val="Voetnoottekst"/>
      </w:pPr>
      <w:r>
        <w:t xml:space="preserve">via: </w:t>
      </w:r>
      <w:hyperlink r:id="rId18" w:history="1">
        <w:r w:rsidRPr="001D2A82">
          <w:rPr>
            <w:rStyle w:val="Hyperlink"/>
          </w:rPr>
          <w:t>http://www.mkbservicedesk.nl/2335/wat-zijn-financiele-ratio.htm</w:t>
        </w:r>
      </w:hyperlink>
      <w:r>
        <w:t xml:space="preserve"> </w:t>
      </w:r>
    </w:p>
  </w:footnote>
  <w:footnote w:id="169">
    <w:p w:rsidR="009A0204" w:rsidRPr="00177B55" w:rsidRDefault="009A0204" w:rsidP="00780824">
      <w:pPr>
        <w:pStyle w:val="Voetnoottekst"/>
      </w:pPr>
      <w:r>
        <w:rPr>
          <w:rStyle w:val="Voetnootmarkering"/>
        </w:rPr>
        <w:footnoteRef/>
      </w:r>
      <w:r>
        <w:t xml:space="preserve"> Zie paragraaf 3.3.1</w:t>
      </w:r>
    </w:p>
  </w:footnote>
  <w:footnote w:id="170">
    <w:p w:rsidR="009A0204" w:rsidRPr="00177B55" w:rsidRDefault="009A0204" w:rsidP="00780824">
      <w:pPr>
        <w:pStyle w:val="Voetnoottekst"/>
      </w:pPr>
      <w:r>
        <w:rPr>
          <w:rStyle w:val="Voetnootmarkering"/>
        </w:rPr>
        <w:footnoteRef/>
      </w:r>
      <w:r>
        <w:t xml:space="preserve"> </w:t>
      </w:r>
      <w:r w:rsidRPr="00A825D6">
        <w:t xml:space="preserve">Conversie </w:t>
      </w:r>
      <w:proofErr w:type="spellStart"/>
      <w:r w:rsidRPr="00A825D6">
        <w:t>RJ-richtlijnen</w:t>
      </w:r>
      <w:proofErr w:type="spellEnd"/>
      <w:r w:rsidRPr="00A825D6">
        <w:t xml:space="preserve"> naar IFRS SME is inspannend, maar wordt wel lonend</w:t>
      </w:r>
      <w:r>
        <w:t xml:space="preserve"> (Geffen en Van der Windt)</w:t>
      </w:r>
    </w:p>
  </w:footnote>
  <w:footnote w:id="171">
    <w:p w:rsidR="009A0204" w:rsidRPr="002373F3" w:rsidRDefault="009A0204" w:rsidP="00780824">
      <w:pPr>
        <w:pStyle w:val="Voetnoottekst"/>
      </w:pPr>
      <w:r>
        <w:rPr>
          <w:rStyle w:val="Voetnootmarkering"/>
        </w:rPr>
        <w:footnoteRef/>
      </w:r>
      <w:r w:rsidRPr="002373F3">
        <w:t xml:space="preserve"> Ibidem</w:t>
      </w:r>
    </w:p>
  </w:footnote>
  <w:footnote w:id="172">
    <w:p w:rsidR="009A0204" w:rsidRPr="002373F3" w:rsidRDefault="009A0204">
      <w:pPr>
        <w:pStyle w:val="Voetnoottekst"/>
        <w:rPr>
          <w:lang w:val="en-US"/>
        </w:rPr>
      </w:pPr>
      <w:r>
        <w:rPr>
          <w:rStyle w:val="Voetnootmarkering"/>
        </w:rPr>
        <w:footnoteRef/>
      </w:r>
      <w:r w:rsidRPr="001B4307">
        <w:t xml:space="preserve"> </w:t>
      </w:r>
      <w:proofErr w:type="spellStart"/>
      <w:r w:rsidRPr="001B4307">
        <w:t>Nivra</w:t>
      </w:r>
      <w:proofErr w:type="spellEnd"/>
      <w:r w:rsidRPr="001B4307">
        <w:t>, Visie op externe v</w:t>
      </w:r>
      <w:r>
        <w:t xml:space="preserve">erslaggeving. </w:t>
      </w:r>
      <w:r w:rsidRPr="002373F3">
        <w:rPr>
          <w:lang w:val="en-US"/>
        </w:rPr>
        <w:t xml:space="preserve">14 </w:t>
      </w:r>
      <w:proofErr w:type="spellStart"/>
      <w:r w:rsidRPr="002373F3">
        <w:rPr>
          <w:lang w:val="en-US"/>
        </w:rPr>
        <w:t>maart</w:t>
      </w:r>
      <w:proofErr w:type="spellEnd"/>
      <w:r w:rsidRPr="002373F3">
        <w:rPr>
          <w:lang w:val="en-US"/>
        </w:rPr>
        <w:t xml:space="preserve"> 2007</w:t>
      </w:r>
    </w:p>
  </w:footnote>
  <w:footnote w:id="173">
    <w:p w:rsidR="009A0204" w:rsidRPr="008C060D" w:rsidRDefault="009A0204" w:rsidP="000457C9">
      <w:pPr>
        <w:pStyle w:val="Voetnoottekst"/>
        <w:rPr>
          <w:lang w:val="en-US"/>
        </w:rPr>
      </w:pPr>
      <w:r>
        <w:rPr>
          <w:rStyle w:val="Voetnootmarkering"/>
        </w:rPr>
        <w:footnoteRef/>
      </w:r>
      <w:r w:rsidRPr="008C060D">
        <w:rPr>
          <w:lang w:val="en-US"/>
        </w:rPr>
        <w:t xml:space="preserve"> Talking SMEs (</w:t>
      </w:r>
      <w:proofErr w:type="spellStart"/>
      <w:r w:rsidRPr="008C060D">
        <w:rPr>
          <w:lang w:val="en-US"/>
        </w:rPr>
        <w:t>nov</w:t>
      </w:r>
      <w:proofErr w:type="spellEnd"/>
      <w:r w:rsidRPr="008C060D">
        <w:rPr>
          <w:lang w:val="en-US"/>
        </w:rPr>
        <w:t>. 2009)</w:t>
      </w:r>
    </w:p>
  </w:footnote>
  <w:footnote w:id="174">
    <w:p w:rsidR="009A0204" w:rsidRPr="00193C5D" w:rsidRDefault="009A0204" w:rsidP="000457C9">
      <w:pPr>
        <w:pStyle w:val="Voetnoottekst"/>
        <w:rPr>
          <w:lang w:val="en-US"/>
        </w:rPr>
      </w:pPr>
      <w:r>
        <w:rPr>
          <w:rStyle w:val="Voetnootmarkering"/>
        </w:rPr>
        <w:footnoteRef/>
      </w:r>
      <w:r w:rsidRPr="00193C5D">
        <w:rPr>
          <w:lang w:val="en-US"/>
        </w:rPr>
        <w:t xml:space="preserve"> A Closer Look at IFRS for SMEs</w:t>
      </w:r>
      <w:r>
        <w:rPr>
          <w:lang w:val="en-US"/>
        </w:rPr>
        <w:t xml:space="preserve"> (august 2009)</w:t>
      </w:r>
    </w:p>
  </w:footnote>
  <w:footnote w:id="175">
    <w:p w:rsidR="009A0204" w:rsidRPr="00CA5019" w:rsidRDefault="009A0204" w:rsidP="000457C9">
      <w:pPr>
        <w:pStyle w:val="Voetnoottekst"/>
        <w:rPr>
          <w:lang w:val="en-US"/>
        </w:rPr>
      </w:pPr>
      <w:r>
        <w:rPr>
          <w:rStyle w:val="Voetnootmarkering"/>
        </w:rPr>
        <w:footnoteRef/>
      </w:r>
      <w:r w:rsidRPr="00CA5019">
        <w:rPr>
          <w:lang w:val="en-US"/>
        </w:rPr>
        <w:t xml:space="preserve"> EY </w:t>
      </w:r>
      <w:proofErr w:type="spellStart"/>
      <w:r w:rsidRPr="00CA5019">
        <w:rPr>
          <w:lang w:val="en-US"/>
        </w:rPr>
        <w:t>Handboek</w:t>
      </w:r>
      <w:proofErr w:type="spellEnd"/>
      <w:r w:rsidRPr="00CA5019">
        <w:rPr>
          <w:lang w:val="en-US"/>
        </w:rPr>
        <w:t>, p. 102</w:t>
      </w:r>
    </w:p>
  </w:footnote>
  <w:footnote w:id="176">
    <w:p w:rsidR="009A0204" w:rsidRPr="00CA5019" w:rsidRDefault="009A0204" w:rsidP="000457C9">
      <w:pPr>
        <w:pStyle w:val="Voetnoottekst"/>
        <w:rPr>
          <w:lang w:val="en-US"/>
        </w:rPr>
      </w:pPr>
      <w:r>
        <w:rPr>
          <w:rStyle w:val="Voetnootmarkering"/>
        </w:rPr>
        <w:footnoteRef/>
      </w:r>
      <w:r w:rsidRPr="00CA5019">
        <w:rPr>
          <w:lang w:val="en-US"/>
        </w:rPr>
        <w:t xml:space="preserve"> Consultation on IFRS SME </w:t>
      </w:r>
    </w:p>
  </w:footnote>
  <w:footnote w:id="177">
    <w:p w:rsidR="009A0204" w:rsidRDefault="009A0204" w:rsidP="000457C9">
      <w:pPr>
        <w:pStyle w:val="Voetnoottekst"/>
      </w:pPr>
      <w:r>
        <w:rPr>
          <w:rStyle w:val="Voetnootmarkering"/>
        </w:rPr>
        <w:footnoteRef/>
      </w:r>
      <w:r>
        <w:t xml:space="preserve"> IFRS SME, nou nee</w:t>
      </w:r>
    </w:p>
  </w:footnote>
  <w:footnote w:id="178">
    <w:p w:rsidR="009A0204" w:rsidRDefault="009A0204" w:rsidP="000457C9">
      <w:pPr>
        <w:pStyle w:val="Voetnoottekst"/>
      </w:pPr>
      <w:r>
        <w:rPr>
          <w:rStyle w:val="Voetnootmarkering"/>
        </w:rPr>
        <w:footnoteRef/>
      </w:r>
      <w:r>
        <w:t xml:space="preserve"> </w:t>
      </w:r>
      <w:r w:rsidRPr="00D34AFD">
        <w:t xml:space="preserve">Conversie </w:t>
      </w:r>
      <w:proofErr w:type="spellStart"/>
      <w:r w:rsidRPr="00D34AFD">
        <w:t>RJ-richtlijnen</w:t>
      </w:r>
      <w:proofErr w:type="spellEnd"/>
      <w:r w:rsidRPr="00D34AFD">
        <w:t xml:space="preserve"> naar IFRS SME is inspannend, maar wordt wel lonend</w:t>
      </w:r>
    </w:p>
  </w:footnote>
  <w:footnote w:id="179">
    <w:p w:rsidR="009A0204" w:rsidRPr="00E24C1A" w:rsidRDefault="009A0204" w:rsidP="000457C9">
      <w:pPr>
        <w:pStyle w:val="Voetnoottekst"/>
        <w:rPr>
          <w:rFonts w:ascii="Calibri" w:eastAsia="Calibri" w:hAnsi="Calibri" w:cs="Times New Roman"/>
        </w:rPr>
      </w:pPr>
      <w:r>
        <w:rPr>
          <w:rStyle w:val="Voetnootmarkering"/>
          <w:rFonts w:ascii="Calibri" w:eastAsia="Calibri" w:hAnsi="Calibri" w:cs="Times New Roman"/>
        </w:rPr>
        <w:footnoteRef/>
      </w:r>
      <w:r>
        <w:rPr>
          <w:rFonts w:ascii="Calibri" w:eastAsia="Calibri" w:hAnsi="Calibri" w:cs="Times New Roman"/>
        </w:rPr>
        <w:t xml:space="preserve"> Eén standaard voor verslaggeving?</w:t>
      </w:r>
      <w:r w:rsidRPr="00E24C1A">
        <w:rPr>
          <w:rFonts w:ascii="Calibri" w:eastAsia="Calibri" w:hAnsi="Calibri" w:cs="Times New Roman"/>
        </w:rPr>
        <w:t xml:space="preserve"> Hugo van den Ende</w:t>
      </w:r>
    </w:p>
  </w:footnote>
  <w:footnote w:id="180">
    <w:p w:rsidR="009A0204" w:rsidRDefault="009A0204" w:rsidP="000457C9">
      <w:pPr>
        <w:pStyle w:val="Voetnoottekst"/>
      </w:pPr>
      <w:r>
        <w:rPr>
          <w:rStyle w:val="Voetnootmarkering"/>
        </w:rPr>
        <w:footnoteRef/>
      </w:r>
      <w:r>
        <w:t xml:space="preserve"> Zie </w:t>
      </w:r>
      <w:r w:rsidRPr="00580AC0">
        <w:t>§</w:t>
      </w:r>
      <w:r>
        <w:t>3.3.1</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EC5E5C"/>
    <w:multiLevelType w:val="hybridMultilevel"/>
    <w:tmpl w:val="4F46B52E"/>
    <w:lvl w:ilvl="0" w:tplc="EB5CC27A">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217707D4"/>
    <w:multiLevelType w:val="hybridMultilevel"/>
    <w:tmpl w:val="27AC54C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682F321A"/>
    <w:multiLevelType w:val="hybridMultilevel"/>
    <w:tmpl w:val="E8443E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712D2D32"/>
    <w:multiLevelType w:val="hybridMultilevel"/>
    <w:tmpl w:val="4CCEF878"/>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733E5916"/>
    <w:multiLevelType w:val="hybridMultilevel"/>
    <w:tmpl w:val="8988B7EE"/>
    <w:lvl w:ilvl="0" w:tplc="97422714">
      <w:start w:val="3"/>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78744509"/>
    <w:multiLevelType w:val="hybridMultilevel"/>
    <w:tmpl w:val="9FF62C00"/>
    <w:lvl w:ilvl="0" w:tplc="2188D248">
      <w:start w:val="5"/>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hdrShapeDefaults>
    <o:shapedefaults v:ext="edit" spidmax="9218"/>
  </w:hdrShapeDefaults>
  <w:footnotePr>
    <w:footnote w:id="-1"/>
    <w:footnote w:id="0"/>
  </w:footnotePr>
  <w:endnotePr>
    <w:endnote w:id="-1"/>
    <w:endnote w:id="0"/>
  </w:endnotePr>
  <w:compat/>
  <w:rsids>
    <w:rsidRoot w:val="00780824"/>
    <w:rsid w:val="00002556"/>
    <w:rsid w:val="00032664"/>
    <w:rsid w:val="00037FAE"/>
    <w:rsid w:val="000457C9"/>
    <w:rsid w:val="00047CB0"/>
    <w:rsid w:val="00063299"/>
    <w:rsid w:val="000A157D"/>
    <w:rsid w:val="000A34C5"/>
    <w:rsid w:val="000B0A78"/>
    <w:rsid w:val="000D2CCC"/>
    <w:rsid w:val="000D54C7"/>
    <w:rsid w:val="00100E49"/>
    <w:rsid w:val="001109E7"/>
    <w:rsid w:val="001302F4"/>
    <w:rsid w:val="00131BA5"/>
    <w:rsid w:val="001373BB"/>
    <w:rsid w:val="00156C35"/>
    <w:rsid w:val="00175E1A"/>
    <w:rsid w:val="00180425"/>
    <w:rsid w:val="00186E26"/>
    <w:rsid w:val="00196451"/>
    <w:rsid w:val="001A4091"/>
    <w:rsid w:val="001B4307"/>
    <w:rsid w:val="001F0914"/>
    <w:rsid w:val="001F27B7"/>
    <w:rsid w:val="0021394E"/>
    <w:rsid w:val="0023199C"/>
    <w:rsid w:val="002373F3"/>
    <w:rsid w:val="002506C9"/>
    <w:rsid w:val="00260B7C"/>
    <w:rsid w:val="00267100"/>
    <w:rsid w:val="0027637E"/>
    <w:rsid w:val="00282774"/>
    <w:rsid w:val="00292336"/>
    <w:rsid w:val="002A3881"/>
    <w:rsid w:val="002C6CB7"/>
    <w:rsid w:val="002E78E9"/>
    <w:rsid w:val="002F259C"/>
    <w:rsid w:val="003C41EB"/>
    <w:rsid w:val="003F611C"/>
    <w:rsid w:val="00412113"/>
    <w:rsid w:val="004126BC"/>
    <w:rsid w:val="00417F79"/>
    <w:rsid w:val="00420B52"/>
    <w:rsid w:val="00445E98"/>
    <w:rsid w:val="00454A11"/>
    <w:rsid w:val="00456566"/>
    <w:rsid w:val="0047336D"/>
    <w:rsid w:val="00476682"/>
    <w:rsid w:val="00491D94"/>
    <w:rsid w:val="004A2223"/>
    <w:rsid w:val="004A450D"/>
    <w:rsid w:val="005075D0"/>
    <w:rsid w:val="00514E5D"/>
    <w:rsid w:val="00514EDD"/>
    <w:rsid w:val="0052062C"/>
    <w:rsid w:val="00527BFE"/>
    <w:rsid w:val="005422F5"/>
    <w:rsid w:val="0055073A"/>
    <w:rsid w:val="00580AC0"/>
    <w:rsid w:val="00590856"/>
    <w:rsid w:val="005A09E9"/>
    <w:rsid w:val="005A0E1E"/>
    <w:rsid w:val="005E0701"/>
    <w:rsid w:val="0065082A"/>
    <w:rsid w:val="006729C0"/>
    <w:rsid w:val="006C68C6"/>
    <w:rsid w:val="006E1C42"/>
    <w:rsid w:val="00700FC5"/>
    <w:rsid w:val="00720475"/>
    <w:rsid w:val="00735F36"/>
    <w:rsid w:val="00743F37"/>
    <w:rsid w:val="007553A7"/>
    <w:rsid w:val="007729D8"/>
    <w:rsid w:val="00780824"/>
    <w:rsid w:val="00781148"/>
    <w:rsid w:val="00785EB3"/>
    <w:rsid w:val="00786920"/>
    <w:rsid w:val="007A680B"/>
    <w:rsid w:val="007B2A8B"/>
    <w:rsid w:val="007C0365"/>
    <w:rsid w:val="007C03B9"/>
    <w:rsid w:val="007E4EF5"/>
    <w:rsid w:val="008268D7"/>
    <w:rsid w:val="00870431"/>
    <w:rsid w:val="008730AF"/>
    <w:rsid w:val="008A4700"/>
    <w:rsid w:val="008E1F85"/>
    <w:rsid w:val="009252FE"/>
    <w:rsid w:val="009636C3"/>
    <w:rsid w:val="00986129"/>
    <w:rsid w:val="009A0204"/>
    <w:rsid w:val="009B019D"/>
    <w:rsid w:val="00A16546"/>
    <w:rsid w:val="00A17145"/>
    <w:rsid w:val="00A23981"/>
    <w:rsid w:val="00A56622"/>
    <w:rsid w:val="00AB43E7"/>
    <w:rsid w:val="00AB6BFF"/>
    <w:rsid w:val="00AC3DE0"/>
    <w:rsid w:val="00AE24A1"/>
    <w:rsid w:val="00AE2B9E"/>
    <w:rsid w:val="00AF5873"/>
    <w:rsid w:val="00B0338A"/>
    <w:rsid w:val="00B33389"/>
    <w:rsid w:val="00B35B5E"/>
    <w:rsid w:val="00B37989"/>
    <w:rsid w:val="00B469D4"/>
    <w:rsid w:val="00B667B3"/>
    <w:rsid w:val="00B91868"/>
    <w:rsid w:val="00BB5988"/>
    <w:rsid w:val="00BC7936"/>
    <w:rsid w:val="00BD157F"/>
    <w:rsid w:val="00BE4523"/>
    <w:rsid w:val="00C10D53"/>
    <w:rsid w:val="00C4181A"/>
    <w:rsid w:val="00C702AD"/>
    <w:rsid w:val="00CA5019"/>
    <w:rsid w:val="00CE5060"/>
    <w:rsid w:val="00D24D83"/>
    <w:rsid w:val="00D43F6D"/>
    <w:rsid w:val="00D4630A"/>
    <w:rsid w:val="00D976B6"/>
    <w:rsid w:val="00DB17CD"/>
    <w:rsid w:val="00DC42AE"/>
    <w:rsid w:val="00DD7ACF"/>
    <w:rsid w:val="00DF07D9"/>
    <w:rsid w:val="00DF5613"/>
    <w:rsid w:val="00E410C9"/>
    <w:rsid w:val="00E604EC"/>
    <w:rsid w:val="00E7198F"/>
    <w:rsid w:val="00E75723"/>
    <w:rsid w:val="00E83297"/>
    <w:rsid w:val="00E902F2"/>
    <w:rsid w:val="00EA650D"/>
    <w:rsid w:val="00EC0F44"/>
    <w:rsid w:val="00EF7B6A"/>
    <w:rsid w:val="00F038D4"/>
    <w:rsid w:val="00F07999"/>
    <w:rsid w:val="00F24EBA"/>
    <w:rsid w:val="00F34AFB"/>
    <w:rsid w:val="00F574C9"/>
    <w:rsid w:val="00F85F49"/>
    <w:rsid w:val="00F863AF"/>
    <w:rsid w:val="00FA5A46"/>
    <w:rsid w:val="00FC5AD1"/>
    <w:rsid w:val="00FE122E"/>
    <w:rsid w:val="00FE303E"/>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780824"/>
  </w:style>
  <w:style w:type="paragraph" w:styleId="Kop1">
    <w:name w:val="heading 1"/>
    <w:basedOn w:val="Standaard"/>
    <w:next w:val="Standaard"/>
    <w:link w:val="Kop1Char"/>
    <w:uiPriority w:val="9"/>
    <w:qFormat/>
    <w:rsid w:val="00FE122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FE122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65082A"/>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780824"/>
    <w:pPr>
      <w:ind w:left="720"/>
      <w:contextualSpacing/>
    </w:pPr>
  </w:style>
  <w:style w:type="paragraph" w:styleId="Voetnoottekst">
    <w:name w:val="footnote text"/>
    <w:basedOn w:val="Standaard"/>
    <w:link w:val="VoetnoottekstChar"/>
    <w:uiPriority w:val="99"/>
    <w:unhideWhenUsed/>
    <w:rsid w:val="00780824"/>
    <w:pPr>
      <w:spacing w:after="0" w:line="240" w:lineRule="auto"/>
    </w:pPr>
    <w:rPr>
      <w:sz w:val="20"/>
      <w:szCs w:val="20"/>
    </w:rPr>
  </w:style>
  <w:style w:type="character" w:customStyle="1" w:styleId="VoetnoottekstChar">
    <w:name w:val="Voetnoottekst Char"/>
    <w:basedOn w:val="Standaardalinea-lettertype"/>
    <w:link w:val="Voetnoottekst"/>
    <w:uiPriority w:val="99"/>
    <w:rsid w:val="00780824"/>
    <w:rPr>
      <w:sz w:val="20"/>
      <w:szCs w:val="20"/>
    </w:rPr>
  </w:style>
  <w:style w:type="character" w:styleId="Voetnootmarkering">
    <w:name w:val="footnote reference"/>
    <w:basedOn w:val="Standaardalinea-lettertype"/>
    <w:uiPriority w:val="99"/>
    <w:unhideWhenUsed/>
    <w:rsid w:val="00780824"/>
    <w:rPr>
      <w:vertAlign w:val="superscript"/>
    </w:rPr>
  </w:style>
  <w:style w:type="character" w:styleId="Hyperlink">
    <w:name w:val="Hyperlink"/>
    <w:basedOn w:val="Standaardalinea-lettertype"/>
    <w:uiPriority w:val="99"/>
    <w:unhideWhenUsed/>
    <w:rsid w:val="00780824"/>
    <w:rPr>
      <w:color w:val="0000FF"/>
      <w:u w:val="single"/>
    </w:rPr>
  </w:style>
  <w:style w:type="paragraph" w:styleId="Voettekst">
    <w:name w:val="footer"/>
    <w:basedOn w:val="Standaard"/>
    <w:link w:val="VoettekstChar"/>
    <w:uiPriority w:val="99"/>
    <w:unhideWhenUsed/>
    <w:rsid w:val="0078082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80824"/>
  </w:style>
  <w:style w:type="paragraph" w:styleId="Ballontekst">
    <w:name w:val="Balloon Text"/>
    <w:basedOn w:val="Standaard"/>
    <w:link w:val="BallontekstChar"/>
    <w:uiPriority w:val="99"/>
    <w:semiHidden/>
    <w:unhideWhenUsed/>
    <w:rsid w:val="0078082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780824"/>
    <w:rPr>
      <w:rFonts w:ascii="Tahoma" w:hAnsi="Tahoma" w:cs="Tahoma"/>
      <w:sz w:val="16"/>
      <w:szCs w:val="16"/>
    </w:rPr>
  </w:style>
  <w:style w:type="paragraph" w:styleId="Koptekst">
    <w:name w:val="header"/>
    <w:basedOn w:val="Standaard"/>
    <w:link w:val="KoptekstChar"/>
    <w:uiPriority w:val="99"/>
    <w:semiHidden/>
    <w:unhideWhenUsed/>
    <w:rsid w:val="001373BB"/>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1373BB"/>
  </w:style>
  <w:style w:type="character" w:styleId="GevolgdeHyperlink">
    <w:name w:val="FollowedHyperlink"/>
    <w:basedOn w:val="Standaardalinea-lettertype"/>
    <w:uiPriority w:val="99"/>
    <w:semiHidden/>
    <w:unhideWhenUsed/>
    <w:rsid w:val="00DF5613"/>
    <w:rPr>
      <w:color w:val="800080" w:themeColor="followedHyperlink"/>
      <w:u w:val="single"/>
    </w:rPr>
  </w:style>
  <w:style w:type="character" w:customStyle="1" w:styleId="st">
    <w:name w:val="st"/>
    <w:basedOn w:val="Standaardalinea-lettertype"/>
    <w:rsid w:val="0052062C"/>
  </w:style>
  <w:style w:type="character" w:customStyle="1" w:styleId="Kop1Char">
    <w:name w:val="Kop 1 Char"/>
    <w:basedOn w:val="Standaardalinea-lettertype"/>
    <w:link w:val="Kop1"/>
    <w:uiPriority w:val="9"/>
    <w:rsid w:val="00FE122E"/>
    <w:rPr>
      <w:rFonts w:asciiTheme="majorHAnsi" w:eastAsiaTheme="majorEastAsia" w:hAnsiTheme="majorHAnsi" w:cstheme="majorBidi"/>
      <w:b/>
      <w:bCs/>
      <w:color w:val="365F91" w:themeColor="accent1" w:themeShade="BF"/>
      <w:sz w:val="28"/>
      <w:szCs w:val="28"/>
    </w:rPr>
  </w:style>
  <w:style w:type="paragraph" w:styleId="Kopvaninhoudsopgave">
    <w:name w:val="TOC Heading"/>
    <w:basedOn w:val="Kop1"/>
    <w:next w:val="Standaard"/>
    <w:uiPriority w:val="39"/>
    <w:unhideWhenUsed/>
    <w:qFormat/>
    <w:rsid w:val="00FE122E"/>
    <w:pPr>
      <w:outlineLvl w:val="9"/>
    </w:pPr>
  </w:style>
  <w:style w:type="character" w:customStyle="1" w:styleId="Kop2Char">
    <w:name w:val="Kop 2 Char"/>
    <w:basedOn w:val="Standaardalinea-lettertype"/>
    <w:link w:val="Kop2"/>
    <w:uiPriority w:val="9"/>
    <w:rsid w:val="00FE122E"/>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65082A"/>
    <w:rPr>
      <w:rFonts w:asciiTheme="majorHAnsi" w:eastAsiaTheme="majorEastAsia" w:hAnsiTheme="majorHAnsi" w:cstheme="majorBidi"/>
      <w:b/>
      <w:bCs/>
      <w:color w:val="4F81BD" w:themeColor="accent1"/>
    </w:rPr>
  </w:style>
  <w:style w:type="paragraph" w:styleId="Inhopg2">
    <w:name w:val="toc 2"/>
    <w:basedOn w:val="Standaard"/>
    <w:next w:val="Standaard"/>
    <w:autoRedefine/>
    <w:uiPriority w:val="39"/>
    <w:unhideWhenUsed/>
    <w:rsid w:val="004126BC"/>
    <w:pPr>
      <w:spacing w:after="100"/>
      <w:ind w:left="220"/>
    </w:pPr>
  </w:style>
  <w:style w:type="paragraph" w:styleId="Inhopg3">
    <w:name w:val="toc 3"/>
    <w:basedOn w:val="Standaard"/>
    <w:next w:val="Standaard"/>
    <w:autoRedefine/>
    <w:uiPriority w:val="39"/>
    <w:unhideWhenUsed/>
    <w:rsid w:val="004126BC"/>
    <w:pPr>
      <w:spacing w:after="100"/>
      <w:ind w:left="440"/>
    </w:pPr>
  </w:style>
</w:styles>
</file>

<file path=word/webSettings.xml><?xml version="1.0" encoding="utf-8"?>
<w:webSettings xmlns:r="http://schemas.openxmlformats.org/officeDocument/2006/relationships" xmlns:w="http://schemas.openxmlformats.org/wordprocessingml/2006/main">
  <w:divs>
    <w:div w:id="359159910">
      <w:bodyDiv w:val="1"/>
      <w:marLeft w:val="0"/>
      <w:marRight w:val="0"/>
      <w:marTop w:val="0"/>
      <w:marBottom w:val="0"/>
      <w:divBdr>
        <w:top w:val="none" w:sz="0" w:space="0" w:color="auto"/>
        <w:left w:val="none" w:sz="0" w:space="0" w:color="auto"/>
        <w:bottom w:val="none" w:sz="0" w:space="0" w:color="auto"/>
        <w:right w:val="none" w:sz="0" w:space="0" w:color="auto"/>
      </w:divBdr>
    </w:div>
    <w:div w:id="456921498">
      <w:bodyDiv w:val="1"/>
      <w:marLeft w:val="0"/>
      <w:marRight w:val="0"/>
      <w:marTop w:val="0"/>
      <w:marBottom w:val="0"/>
      <w:divBdr>
        <w:top w:val="none" w:sz="0" w:space="0" w:color="auto"/>
        <w:left w:val="none" w:sz="0" w:space="0" w:color="auto"/>
        <w:bottom w:val="none" w:sz="0" w:space="0" w:color="auto"/>
        <w:right w:val="none" w:sz="0" w:space="0" w:color="auto"/>
      </w:divBdr>
      <w:divsChild>
        <w:div w:id="1090127707">
          <w:marLeft w:val="0"/>
          <w:marRight w:val="0"/>
          <w:marTop w:val="0"/>
          <w:marBottom w:val="0"/>
          <w:divBdr>
            <w:top w:val="none" w:sz="0" w:space="0" w:color="auto"/>
            <w:left w:val="none" w:sz="0" w:space="0" w:color="auto"/>
            <w:bottom w:val="none" w:sz="0" w:space="0" w:color="auto"/>
            <w:right w:val="none" w:sz="0" w:space="0" w:color="auto"/>
          </w:divBdr>
        </w:div>
        <w:div w:id="1118989761">
          <w:marLeft w:val="0"/>
          <w:marRight w:val="0"/>
          <w:marTop w:val="0"/>
          <w:marBottom w:val="0"/>
          <w:divBdr>
            <w:top w:val="none" w:sz="0" w:space="0" w:color="auto"/>
            <w:left w:val="none" w:sz="0" w:space="0" w:color="auto"/>
            <w:bottom w:val="none" w:sz="0" w:space="0" w:color="auto"/>
            <w:right w:val="none" w:sz="0" w:space="0" w:color="auto"/>
          </w:divBdr>
          <w:divsChild>
            <w:div w:id="959724679">
              <w:marLeft w:val="0"/>
              <w:marRight w:val="0"/>
              <w:marTop w:val="0"/>
              <w:marBottom w:val="0"/>
              <w:divBdr>
                <w:top w:val="none" w:sz="0" w:space="0" w:color="auto"/>
                <w:left w:val="none" w:sz="0" w:space="0" w:color="auto"/>
                <w:bottom w:val="none" w:sz="0" w:space="0" w:color="auto"/>
                <w:right w:val="none" w:sz="0" w:space="0" w:color="auto"/>
              </w:divBdr>
            </w:div>
            <w:div w:id="80026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663838">
      <w:bodyDiv w:val="1"/>
      <w:marLeft w:val="0"/>
      <w:marRight w:val="0"/>
      <w:marTop w:val="0"/>
      <w:marBottom w:val="0"/>
      <w:divBdr>
        <w:top w:val="none" w:sz="0" w:space="0" w:color="auto"/>
        <w:left w:val="none" w:sz="0" w:space="0" w:color="auto"/>
        <w:bottom w:val="none" w:sz="0" w:space="0" w:color="auto"/>
        <w:right w:val="none" w:sz="0" w:space="0" w:color="auto"/>
      </w:divBdr>
    </w:div>
    <w:div w:id="1437410152">
      <w:bodyDiv w:val="1"/>
      <w:marLeft w:val="0"/>
      <w:marRight w:val="0"/>
      <w:marTop w:val="0"/>
      <w:marBottom w:val="0"/>
      <w:divBdr>
        <w:top w:val="none" w:sz="0" w:space="0" w:color="auto"/>
        <w:left w:val="none" w:sz="0" w:space="0" w:color="auto"/>
        <w:bottom w:val="none" w:sz="0" w:space="0" w:color="auto"/>
        <w:right w:val="none" w:sz="0" w:space="0" w:color="auto"/>
      </w:divBdr>
    </w:div>
    <w:div w:id="1921136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iasplus.com/restruct/constreview.htm" TargetMode="External"/><Relationship Id="rId18" Type="http://schemas.openxmlformats.org/officeDocument/2006/relationships/hyperlink" Target="http://www.ifrs.org/How+we+develop+Interpretations/How+we+develop+Interpretations.htm"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www.accountancynieuws.nl/actueel/vaktechniek/xbrl-taxonomieen-geven-beeld-van-administratieve.91137.lynkx" TargetMode="External"/><Relationship Id="rId7" Type="http://schemas.openxmlformats.org/officeDocument/2006/relationships/endnotes" Target="endnotes.xml"/><Relationship Id="rId12" Type="http://schemas.openxmlformats.org/officeDocument/2006/relationships/hyperlink" Target="http://www.accountancyage.com/aa/news/1775891/sme-standards-set-adoption-globe" TargetMode="External"/><Relationship Id="rId17" Type="http://schemas.openxmlformats.org/officeDocument/2006/relationships/hyperlink" Target="http://www.ifrs.org/How+we+develop+standards/How+we+develop+standards.htm"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ifrs.org/The+organisation/IASCF+and+IASB.htm" TargetMode="External"/><Relationship Id="rId20" Type="http://schemas.openxmlformats.org/officeDocument/2006/relationships/hyperlink" Target="http://www.inc.com/encyclopedia/financial-statement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www.sba.gov/" TargetMode="External"/><Relationship Id="rId5" Type="http://schemas.openxmlformats.org/officeDocument/2006/relationships/webSettings" Target="webSettings.xml"/><Relationship Id="rId15" Type="http://schemas.openxmlformats.org/officeDocument/2006/relationships/hyperlink" Target="http://www.ifrs.org/IFRS+for+SMEs/IFRS+for+SMEs.htm" TargetMode="External"/><Relationship Id="rId23" Type="http://schemas.openxmlformats.org/officeDocument/2006/relationships/hyperlink" Target="http://www.rijksoverheid.nl/regering/het-kabinet/bewindspersonen/piet-hein-donner/toespraken/2011/05/03/toespraak-op-de-dag-van-de-persvrijheid.html" TargetMode="External"/><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http://www.ifrs.org/Current+Projects/IASB+Projects/Small+and+Medium-sized+Entities/Small+and+Medium-sized+Entities.ht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accountancynieuws.nl/actueel/vaktechniek/conversie-rj-richtlijnen-naar-ifrs-sme-is.89913.lynkx?PostedField%5bkeyword%5d=vereenvoudiging&amp;pageStart=81&amp;Confirmed=Zoeken" TargetMode="External"/><Relationship Id="rId22" Type="http://schemas.openxmlformats.org/officeDocument/2006/relationships/hyperlink" Target="http://www.mkbservicedesk.nl/2335/wat-zijn-financiele-ratio.htm"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www.rijksoverheid.nl/regering/het-kabinet/bewindspersonen/piet-hein-donner/toespraken/2011/05/03/toespraak-op-de-dag-van-de-persvrijheid.html" TargetMode="External"/><Relationship Id="rId13" Type="http://schemas.openxmlformats.org/officeDocument/2006/relationships/hyperlink" Target="http://standardandpoors.com" TargetMode="External"/><Relationship Id="rId18" Type="http://schemas.openxmlformats.org/officeDocument/2006/relationships/hyperlink" Target="http://www.mkbservicedesk.nl/2335/wat-zijn-financiele-ratio.htm" TargetMode="External"/><Relationship Id="rId3" Type="http://schemas.openxmlformats.org/officeDocument/2006/relationships/hyperlink" Target="http://www.ifrs.org/The+organisation/IASCF+and+IASB.htm" TargetMode="External"/><Relationship Id="rId7" Type="http://schemas.openxmlformats.org/officeDocument/2006/relationships/hyperlink" Target="http://www.accountancyage.com/aa/news/1775891/sme-standards-set-adoption-globe" TargetMode="External"/><Relationship Id="rId12" Type="http://schemas.openxmlformats.org/officeDocument/2006/relationships/hyperlink" Target="http://www.ifrs.org/Current+Projects/IASB+Projects/Small+and+Medium-sized+Entities/Small+and+Medium-sized+Entities.htm" TargetMode="External"/><Relationship Id="rId17" Type="http://schemas.openxmlformats.org/officeDocument/2006/relationships/hyperlink" Target="http://www.accountancynieuws.nl/actueel/vaktechniek/xbrl-taxonomieen-geven-beeld-van-administratieve.91137.lynkx" TargetMode="External"/><Relationship Id="rId2" Type="http://schemas.openxmlformats.org/officeDocument/2006/relationships/hyperlink" Target="http://www.ifrs.org/How+we+develop+Interpretations/How+we+develop+Interpretations.htm" TargetMode="External"/><Relationship Id="rId16" Type="http://schemas.openxmlformats.org/officeDocument/2006/relationships/hyperlink" Target="http://www.accountancyage.com/aa/news/1775891/sme-standards-set-adoption-globe" TargetMode="External"/><Relationship Id="rId1" Type="http://schemas.openxmlformats.org/officeDocument/2006/relationships/hyperlink" Target="http://www.iasplus.com/restruct/constreview.htm" TargetMode="External"/><Relationship Id="rId6" Type="http://schemas.openxmlformats.org/officeDocument/2006/relationships/hyperlink" Target="http://www.sba.gov/" TargetMode="External"/><Relationship Id="rId11" Type="http://schemas.openxmlformats.org/officeDocument/2006/relationships/hyperlink" Target="http://www.ifrs.org/How+we+develop+standards/How+we+develop+standards.htm" TargetMode="External"/><Relationship Id="rId5" Type="http://schemas.openxmlformats.org/officeDocument/2006/relationships/hyperlink" Target="http://www.inc.com/encyclopedia/financial-statements.html" TargetMode="External"/><Relationship Id="rId15" Type="http://schemas.openxmlformats.org/officeDocument/2006/relationships/hyperlink" Target="http://www.ifrs.org/Current+Projects/IASB+Projects/Small+and+Medium-sized+Entities/Exposure+Drafts+and+Comment+Letters/Comment+Letters/Comment+Letters.htm" TargetMode="External"/><Relationship Id="rId10" Type="http://schemas.openxmlformats.org/officeDocument/2006/relationships/hyperlink" Target="http://www.ifrs.org/How+we+develop+standards/How+we+develop+standards.htm" TargetMode="External"/><Relationship Id="rId4" Type="http://schemas.openxmlformats.org/officeDocument/2006/relationships/hyperlink" Target="http://www.ifrs.org/IFRS+for+SMEs/IFRS+for+SMEs.htm" TargetMode="External"/><Relationship Id="rId9" Type="http://schemas.openxmlformats.org/officeDocument/2006/relationships/hyperlink" Target="http://www.ifrs.org/How+we+develop+standards/How+we+develop+standards.htm" TargetMode="External"/><Relationship Id="rId14" Type="http://schemas.openxmlformats.org/officeDocument/2006/relationships/hyperlink" Target="http://moodys.com"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4C89D5-19D1-4A81-A254-4F5B7752A6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67</Pages>
  <Words>22654</Words>
  <Characters>124599</Characters>
  <Application>Microsoft Office Word</Application>
  <DocSecurity>0</DocSecurity>
  <Lines>1038</Lines>
  <Paragraphs>293</Paragraphs>
  <ScaleCrop>false</ScaleCrop>
  <HeadingPairs>
    <vt:vector size="2" baseType="variant">
      <vt:variant>
        <vt:lpstr>Titel</vt:lpstr>
      </vt:variant>
      <vt:variant>
        <vt:i4>1</vt:i4>
      </vt:variant>
    </vt:vector>
  </HeadingPairs>
  <TitlesOfParts>
    <vt:vector size="1" baseType="lpstr">
      <vt:lpstr/>
    </vt:vector>
  </TitlesOfParts>
  <Company>X</Company>
  <LinksUpToDate>false</LinksUpToDate>
  <CharactersWithSpaces>146960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2011-07-31T20:22:00Z</dcterms:created>
  <dcterms:modified xsi:type="dcterms:W3CDTF">2011-07-31T20:22:00Z</dcterms:modified>
</cp:coreProperties>
</file>