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69B7" w:rsidRDefault="00A969B7" w:rsidP="00A969B7">
      <w:pPr>
        <w:pStyle w:val="NoSpacing"/>
      </w:pPr>
      <w:r>
        <w:t>ERASMUS UNIVERSITEIT ROTTERDAM</w:t>
      </w:r>
    </w:p>
    <w:p w:rsidR="00A969B7" w:rsidRDefault="00A969B7" w:rsidP="00A969B7">
      <w:pPr>
        <w:pStyle w:val="NoSpacing"/>
      </w:pPr>
      <w:r>
        <w:t xml:space="preserve">Erasmus School of </w:t>
      </w:r>
      <w:proofErr w:type="spellStart"/>
      <w:r w:rsidRPr="00FE3A5F">
        <w:t>Economics</w:t>
      </w:r>
      <w:proofErr w:type="spellEnd"/>
    </w:p>
    <w:p w:rsidR="00A969B7" w:rsidRPr="00A969B7" w:rsidRDefault="00A969B7" w:rsidP="00A969B7">
      <w:pPr>
        <w:pStyle w:val="NoSpacing"/>
      </w:pPr>
      <w:r>
        <w:t>Bachelorscriptie</w:t>
      </w:r>
    </w:p>
    <w:p w:rsidR="00A969B7" w:rsidRDefault="00A969B7" w:rsidP="00991710">
      <w:pPr>
        <w:pStyle w:val="Title"/>
      </w:pPr>
    </w:p>
    <w:p w:rsidR="00A969B7" w:rsidRDefault="00A969B7" w:rsidP="00991710">
      <w:pPr>
        <w:pStyle w:val="Title"/>
      </w:pPr>
    </w:p>
    <w:p w:rsidR="00A969B7" w:rsidRDefault="00A969B7" w:rsidP="00991710">
      <w:pPr>
        <w:pStyle w:val="Title"/>
      </w:pPr>
    </w:p>
    <w:p w:rsidR="00991710" w:rsidRDefault="00991710" w:rsidP="00991710">
      <w:pPr>
        <w:pStyle w:val="Title"/>
      </w:pPr>
      <w:r>
        <w:t>Rentepariteit; Slechts een theoretisch toepasbaar</w:t>
      </w:r>
      <w:r w:rsidR="00A969B7">
        <w:t xml:space="preserve"> model</w:t>
      </w:r>
      <w:r>
        <w:t>?</w:t>
      </w:r>
    </w:p>
    <w:p w:rsidR="00A969B7" w:rsidRDefault="00991710" w:rsidP="00991710">
      <w:pPr>
        <w:pStyle w:val="Subtitle"/>
      </w:pPr>
      <w:r>
        <w:t xml:space="preserve">De toepassing van art. 10a Wet VPB 1969 op </w:t>
      </w:r>
      <w:r w:rsidR="00A969B7">
        <w:t>valutaresultaten.</w:t>
      </w:r>
    </w:p>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 w:rsidR="00A969B7" w:rsidRDefault="00A969B7" w:rsidP="00A969B7">
      <w:pPr>
        <w:pStyle w:val="NoSpacing"/>
      </w:pPr>
    </w:p>
    <w:p w:rsidR="00A969B7" w:rsidRDefault="00A969B7" w:rsidP="00A969B7">
      <w:pPr>
        <w:pStyle w:val="NoSpacing"/>
      </w:pPr>
      <w:r>
        <w:t>Brigitte J.A. Verbeek</w:t>
      </w:r>
    </w:p>
    <w:p w:rsidR="00A969B7" w:rsidRDefault="00A969B7" w:rsidP="00A969B7">
      <w:pPr>
        <w:pStyle w:val="NoSpacing"/>
      </w:pPr>
      <w:r>
        <w:t>Studentnummer: 316046</w:t>
      </w:r>
    </w:p>
    <w:p w:rsidR="00A969B7" w:rsidRDefault="00A969B7" w:rsidP="00A969B7">
      <w:pPr>
        <w:pStyle w:val="NoSpacing"/>
      </w:pPr>
      <w:r>
        <w:t xml:space="preserve">Begeleider: </w:t>
      </w:r>
      <w:proofErr w:type="spellStart"/>
      <w:r>
        <w:t>drs</w:t>
      </w:r>
      <w:proofErr w:type="spellEnd"/>
      <w:r>
        <w:t xml:space="preserve"> M. </w:t>
      </w:r>
      <w:proofErr w:type="spellStart"/>
      <w:r>
        <w:t>Nieuweboer</w:t>
      </w:r>
      <w:proofErr w:type="spellEnd"/>
    </w:p>
    <w:p w:rsidR="00991710" w:rsidRPr="00A969B7" w:rsidRDefault="00A969B7" w:rsidP="00A969B7">
      <w:pPr>
        <w:pStyle w:val="NoSpacing"/>
      </w:pPr>
      <w:r>
        <w:t>Rotterdam, 28 juli 2011</w:t>
      </w:r>
      <w:r w:rsidR="00991710">
        <w:br w:type="page"/>
      </w:r>
    </w:p>
    <w:p w:rsidR="00EC580C" w:rsidRDefault="009F60CF" w:rsidP="009F60CF">
      <w:pPr>
        <w:pStyle w:val="Heading1"/>
      </w:pPr>
      <w:bookmarkStart w:id="0" w:name="_Toc299359007"/>
      <w:r>
        <w:lastRenderedPageBreak/>
        <w:t>Inhoudsopgave</w:t>
      </w:r>
      <w:bookmarkEnd w:id="0"/>
    </w:p>
    <w:p w:rsidR="00FE3A5F" w:rsidRDefault="00DA1106">
      <w:pPr>
        <w:pStyle w:val="TOC1"/>
        <w:tabs>
          <w:tab w:val="right" w:pos="9062"/>
        </w:tabs>
        <w:rPr>
          <w:rFonts w:eastAsiaTheme="minorEastAsia"/>
          <w:b w:val="0"/>
          <w:bCs w:val="0"/>
          <w:caps w:val="0"/>
          <w:noProof/>
          <w:u w:val="none"/>
          <w:lang w:eastAsia="nl-NL"/>
        </w:rPr>
      </w:pPr>
      <w:r w:rsidRPr="00DA1106">
        <w:fldChar w:fldCharType="begin"/>
      </w:r>
      <w:r w:rsidR="009F60CF">
        <w:instrText xml:space="preserve"> TOC \o "1-3" \h \z \u </w:instrText>
      </w:r>
      <w:r w:rsidRPr="00DA1106">
        <w:fldChar w:fldCharType="separate"/>
      </w:r>
      <w:hyperlink w:anchor="_Toc299359007" w:history="1">
        <w:r w:rsidR="00FE3A5F" w:rsidRPr="0052282B">
          <w:rPr>
            <w:rStyle w:val="Hyperlink"/>
            <w:noProof/>
          </w:rPr>
          <w:t>Inhoudsopgave</w:t>
        </w:r>
        <w:r w:rsidR="00FE3A5F">
          <w:rPr>
            <w:noProof/>
            <w:webHidden/>
          </w:rPr>
          <w:tab/>
        </w:r>
        <w:r>
          <w:rPr>
            <w:noProof/>
            <w:webHidden/>
          </w:rPr>
          <w:fldChar w:fldCharType="begin"/>
        </w:r>
        <w:r w:rsidR="00FE3A5F">
          <w:rPr>
            <w:noProof/>
            <w:webHidden/>
          </w:rPr>
          <w:instrText xml:space="preserve"> PAGEREF _Toc299359007 \h </w:instrText>
        </w:r>
        <w:r>
          <w:rPr>
            <w:noProof/>
            <w:webHidden/>
          </w:rPr>
        </w:r>
        <w:r>
          <w:rPr>
            <w:noProof/>
            <w:webHidden/>
          </w:rPr>
          <w:fldChar w:fldCharType="separate"/>
        </w:r>
        <w:r w:rsidR="00FE3A5F">
          <w:rPr>
            <w:noProof/>
            <w:webHidden/>
          </w:rPr>
          <w:t>2</w:t>
        </w:r>
        <w:r>
          <w:rPr>
            <w:noProof/>
            <w:webHidden/>
          </w:rPr>
          <w:fldChar w:fldCharType="end"/>
        </w:r>
      </w:hyperlink>
    </w:p>
    <w:p w:rsidR="00FE3A5F" w:rsidRDefault="00DA1106">
      <w:pPr>
        <w:pStyle w:val="TOC1"/>
        <w:tabs>
          <w:tab w:val="left" w:pos="390"/>
          <w:tab w:val="right" w:pos="9062"/>
        </w:tabs>
        <w:rPr>
          <w:rFonts w:eastAsiaTheme="minorEastAsia"/>
          <w:b w:val="0"/>
          <w:bCs w:val="0"/>
          <w:caps w:val="0"/>
          <w:noProof/>
          <w:u w:val="none"/>
          <w:lang w:eastAsia="nl-NL"/>
        </w:rPr>
      </w:pPr>
      <w:hyperlink w:anchor="_Toc299359008" w:history="1">
        <w:r w:rsidR="00FE3A5F" w:rsidRPr="0052282B">
          <w:rPr>
            <w:rStyle w:val="Hyperlink"/>
            <w:rFonts w:eastAsia="Times New Roman"/>
            <w:noProof/>
          </w:rPr>
          <w:t>1.</w:t>
        </w:r>
        <w:r w:rsidR="00FE3A5F">
          <w:rPr>
            <w:rFonts w:eastAsiaTheme="minorEastAsia"/>
            <w:b w:val="0"/>
            <w:bCs w:val="0"/>
            <w:caps w:val="0"/>
            <w:noProof/>
            <w:u w:val="none"/>
            <w:lang w:eastAsia="nl-NL"/>
          </w:rPr>
          <w:tab/>
        </w:r>
        <w:r w:rsidR="00FE3A5F" w:rsidRPr="0052282B">
          <w:rPr>
            <w:rStyle w:val="Hyperlink"/>
            <w:rFonts w:eastAsia="Times New Roman"/>
            <w:noProof/>
          </w:rPr>
          <w:t>Inleiding</w:t>
        </w:r>
        <w:r w:rsidR="00FE3A5F">
          <w:rPr>
            <w:noProof/>
            <w:webHidden/>
          </w:rPr>
          <w:tab/>
        </w:r>
        <w:r>
          <w:rPr>
            <w:noProof/>
            <w:webHidden/>
          </w:rPr>
          <w:fldChar w:fldCharType="begin"/>
        </w:r>
        <w:r w:rsidR="00FE3A5F">
          <w:rPr>
            <w:noProof/>
            <w:webHidden/>
          </w:rPr>
          <w:instrText xml:space="preserve"> PAGEREF _Toc299359008 \h </w:instrText>
        </w:r>
        <w:r>
          <w:rPr>
            <w:noProof/>
            <w:webHidden/>
          </w:rPr>
        </w:r>
        <w:r>
          <w:rPr>
            <w:noProof/>
            <w:webHidden/>
          </w:rPr>
          <w:fldChar w:fldCharType="separate"/>
        </w:r>
        <w:r w:rsidR="00FE3A5F">
          <w:rPr>
            <w:noProof/>
            <w:webHidden/>
          </w:rPr>
          <w:t>3</w:t>
        </w:r>
        <w:r>
          <w:rPr>
            <w:noProof/>
            <w:webHidden/>
          </w:rPr>
          <w:fldChar w:fldCharType="end"/>
        </w:r>
      </w:hyperlink>
    </w:p>
    <w:p w:rsidR="00FE3A5F" w:rsidRDefault="00DA1106">
      <w:pPr>
        <w:pStyle w:val="TOC1"/>
        <w:tabs>
          <w:tab w:val="left" w:pos="390"/>
          <w:tab w:val="right" w:pos="9062"/>
        </w:tabs>
        <w:rPr>
          <w:rFonts w:eastAsiaTheme="minorEastAsia"/>
          <w:b w:val="0"/>
          <w:bCs w:val="0"/>
          <w:caps w:val="0"/>
          <w:noProof/>
          <w:u w:val="none"/>
          <w:lang w:eastAsia="nl-NL"/>
        </w:rPr>
      </w:pPr>
      <w:hyperlink w:anchor="_Toc299359009" w:history="1">
        <w:r w:rsidR="00FE3A5F" w:rsidRPr="0052282B">
          <w:rPr>
            <w:rStyle w:val="Hyperlink"/>
            <w:rFonts w:eastAsia="Calibri"/>
            <w:noProof/>
          </w:rPr>
          <w:t>2.</w:t>
        </w:r>
        <w:r w:rsidR="00FE3A5F">
          <w:rPr>
            <w:rFonts w:eastAsiaTheme="minorEastAsia"/>
            <w:b w:val="0"/>
            <w:bCs w:val="0"/>
            <w:caps w:val="0"/>
            <w:noProof/>
            <w:u w:val="none"/>
            <w:lang w:eastAsia="nl-NL"/>
          </w:rPr>
          <w:tab/>
        </w:r>
        <w:r w:rsidR="00FE3A5F" w:rsidRPr="0052282B">
          <w:rPr>
            <w:rStyle w:val="Hyperlink"/>
            <w:rFonts w:eastAsia="Calibri"/>
            <w:noProof/>
          </w:rPr>
          <w:t>Wat vooraf ging aan art. 10a Wet VPB 1969?</w:t>
        </w:r>
        <w:r w:rsidR="00FE3A5F">
          <w:rPr>
            <w:noProof/>
            <w:webHidden/>
          </w:rPr>
          <w:tab/>
        </w:r>
        <w:r>
          <w:rPr>
            <w:noProof/>
            <w:webHidden/>
          </w:rPr>
          <w:fldChar w:fldCharType="begin"/>
        </w:r>
        <w:r w:rsidR="00FE3A5F">
          <w:rPr>
            <w:noProof/>
            <w:webHidden/>
          </w:rPr>
          <w:instrText xml:space="preserve"> PAGEREF _Toc299359009 \h </w:instrText>
        </w:r>
        <w:r>
          <w:rPr>
            <w:noProof/>
            <w:webHidden/>
          </w:rPr>
        </w:r>
        <w:r>
          <w:rPr>
            <w:noProof/>
            <w:webHidden/>
          </w:rPr>
          <w:fldChar w:fldCharType="separate"/>
        </w:r>
        <w:r w:rsidR="00FE3A5F">
          <w:rPr>
            <w:noProof/>
            <w:webHidden/>
          </w:rPr>
          <w:t>5</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10" w:history="1">
        <w:r w:rsidR="00FE3A5F" w:rsidRPr="0052282B">
          <w:rPr>
            <w:rStyle w:val="Hyperlink"/>
            <w:noProof/>
          </w:rPr>
          <w:t>2.1</w:t>
        </w:r>
        <w:r w:rsidR="00FE3A5F">
          <w:rPr>
            <w:rFonts w:eastAsiaTheme="minorEastAsia"/>
            <w:b w:val="0"/>
            <w:bCs w:val="0"/>
            <w:smallCaps w:val="0"/>
            <w:noProof/>
            <w:lang w:eastAsia="nl-NL"/>
          </w:rPr>
          <w:tab/>
        </w:r>
        <w:r w:rsidR="00FE3A5F" w:rsidRPr="0052282B">
          <w:rPr>
            <w:rStyle w:val="Hyperlink"/>
            <w:noProof/>
          </w:rPr>
          <w:t>Eigen vermogen en Vreemd vermogen</w:t>
        </w:r>
        <w:r w:rsidR="00FE3A5F">
          <w:rPr>
            <w:noProof/>
            <w:webHidden/>
          </w:rPr>
          <w:tab/>
        </w:r>
        <w:r>
          <w:rPr>
            <w:noProof/>
            <w:webHidden/>
          </w:rPr>
          <w:fldChar w:fldCharType="begin"/>
        </w:r>
        <w:r w:rsidR="00FE3A5F">
          <w:rPr>
            <w:noProof/>
            <w:webHidden/>
          </w:rPr>
          <w:instrText xml:space="preserve"> PAGEREF _Toc299359010 \h </w:instrText>
        </w:r>
        <w:r>
          <w:rPr>
            <w:noProof/>
            <w:webHidden/>
          </w:rPr>
        </w:r>
        <w:r>
          <w:rPr>
            <w:noProof/>
            <w:webHidden/>
          </w:rPr>
          <w:fldChar w:fldCharType="separate"/>
        </w:r>
        <w:r w:rsidR="00FE3A5F">
          <w:rPr>
            <w:noProof/>
            <w:webHidden/>
          </w:rPr>
          <w:t>5</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11" w:history="1">
        <w:r w:rsidR="00FE3A5F" w:rsidRPr="0052282B">
          <w:rPr>
            <w:rStyle w:val="Hyperlink"/>
            <w:noProof/>
          </w:rPr>
          <w:t>2.2</w:t>
        </w:r>
        <w:r w:rsidR="00FE3A5F">
          <w:rPr>
            <w:rFonts w:eastAsiaTheme="minorEastAsia"/>
            <w:b w:val="0"/>
            <w:bCs w:val="0"/>
            <w:smallCaps w:val="0"/>
            <w:noProof/>
            <w:lang w:eastAsia="nl-NL"/>
          </w:rPr>
          <w:tab/>
        </w:r>
        <w:r w:rsidR="00FE3A5F" w:rsidRPr="0052282B">
          <w:rPr>
            <w:rStyle w:val="Hyperlink"/>
            <w:rFonts w:eastAsia="Calibri"/>
            <w:noProof/>
          </w:rPr>
          <w:t>Fraus legis</w:t>
        </w:r>
        <w:r w:rsidR="00FE3A5F">
          <w:rPr>
            <w:noProof/>
            <w:webHidden/>
          </w:rPr>
          <w:tab/>
        </w:r>
        <w:r>
          <w:rPr>
            <w:noProof/>
            <w:webHidden/>
          </w:rPr>
          <w:fldChar w:fldCharType="begin"/>
        </w:r>
        <w:r w:rsidR="00FE3A5F">
          <w:rPr>
            <w:noProof/>
            <w:webHidden/>
          </w:rPr>
          <w:instrText xml:space="preserve"> PAGEREF _Toc299359011 \h </w:instrText>
        </w:r>
        <w:r>
          <w:rPr>
            <w:noProof/>
            <w:webHidden/>
          </w:rPr>
        </w:r>
        <w:r>
          <w:rPr>
            <w:noProof/>
            <w:webHidden/>
          </w:rPr>
          <w:fldChar w:fldCharType="separate"/>
        </w:r>
        <w:r w:rsidR="00FE3A5F">
          <w:rPr>
            <w:noProof/>
            <w:webHidden/>
          </w:rPr>
          <w:t>6</w:t>
        </w:r>
        <w:r>
          <w:rPr>
            <w:noProof/>
            <w:webHidden/>
          </w:rPr>
          <w:fldChar w:fldCharType="end"/>
        </w:r>
      </w:hyperlink>
    </w:p>
    <w:p w:rsidR="00FE3A5F" w:rsidRDefault="00DA1106">
      <w:pPr>
        <w:pStyle w:val="TOC1"/>
        <w:tabs>
          <w:tab w:val="left" w:pos="390"/>
          <w:tab w:val="right" w:pos="9062"/>
        </w:tabs>
        <w:rPr>
          <w:rFonts w:eastAsiaTheme="minorEastAsia"/>
          <w:b w:val="0"/>
          <w:bCs w:val="0"/>
          <w:caps w:val="0"/>
          <w:noProof/>
          <w:u w:val="none"/>
          <w:lang w:eastAsia="nl-NL"/>
        </w:rPr>
      </w:pPr>
      <w:hyperlink w:anchor="_Toc299359012" w:history="1">
        <w:r w:rsidR="00FE3A5F" w:rsidRPr="0052282B">
          <w:rPr>
            <w:rStyle w:val="Hyperlink"/>
            <w:noProof/>
          </w:rPr>
          <w:t>3.</w:t>
        </w:r>
        <w:r w:rsidR="00FE3A5F">
          <w:rPr>
            <w:rFonts w:eastAsiaTheme="minorEastAsia"/>
            <w:b w:val="0"/>
            <w:bCs w:val="0"/>
            <w:caps w:val="0"/>
            <w:noProof/>
            <w:u w:val="none"/>
            <w:lang w:eastAsia="nl-NL"/>
          </w:rPr>
          <w:tab/>
        </w:r>
        <w:r w:rsidR="00FE3A5F" w:rsidRPr="0052282B">
          <w:rPr>
            <w:rStyle w:val="Hyperlink"/>
            <w:noProof/>
          </w:rPr>
          <w:t>Art. 10a Wet VPB 1969, invoering en uitwerking</w:t>
        </w:r>
        <w:r w:rsidR="00FE3A5F">
          <w:rPr>
            <w:noProof/>
            <w:webHidden/>
          </w:rPr>
          <w:tab/>
        </w:r>
        <w:r>
          <w:rPr>
            <w:noProof/>
            <w:webHidden/>
          </w:rPr>
          <w:fldChar w:fldCharType="begin"/>
        </w:r>
        <w:r w:rsidR="00FE3A5F">
          <w:rPr>
            <w:noProof/>
            <w:webHidden/>
          </w:rPr>
          <w:instrText xml:space="preserve"> PAGEREF _Toc299359012 \h </w:instrText>
        </w:r>
        <w:r>
          <w:rPr>
            <w:noProof/>
            <w:webHidden/>
          </w:rPr>
        </w:r>
        <w:r>
          <w:rPr>
            <w:noProof/>
            <w:webHidden/>
          </w:rPr>
          <w:fldChar w:fldCharType="separate"/>
        </w:r>
        <w:r w:rsidR="00FE3A5F">
          <w:rPr>
            <w:noProof/>
            <w:webHidden/>
          </w:rPr>
          <w:t>10</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13" w:history="1">
        <w:r w:rsidR="00FE3A5F" w:rsidRPr="0052282B">
          <w:rPr>
            <w:rStyle w:val="Hyperlink"/>
            <w:noProof/>
          </w:rPr>
          <w:t>3.1</w:t>
        </w:r>
        <w:r w:rsidR="00FE3A5F">
          <w:rPr>
            <w:rFonts w:eastAsiaTheme="minorEastAsia"/>
            <w:b w:val="0"/>
            <w:bCs w:val="0"/>
            <w:smallCaps w:val="0"/>
            <w:noProof/>
            <w:lang w:eastAsia="nl-NL"/>
          </w:rPr>
          <w:tab/>
        </w:r>
        <w:r w:rsidR="00FE3A5F" w:rsidRPr="0052282B">
          <w:rPr>
            <w:rStyle w:val="Hyperlink"/>
            <w:noProof/>
          </w:rPr>
          <w:t>De invoering</w:t>
        </w:r>
        <w:r w:rsidR="00FE3A5F">
          <w:rPr>
            <w:noProof/>
            <w:webHidden/>
          </w:rPr>
          <w:tab/>
        </w:r>
        <w:r>
          <w:rPr>
            <w:noProof/>
            <w:webHidden/>
          </w:rPr>
          <w:fldChar w:fldCharType="begin"/>
        </w:r>
        <w:r w:rsidR="00FE3A5F">
          <w:rPr>
            <w:noProof/>
            <w:webHidden/>
          </w:rPr>
          <w:instrText xml:space="preserve"> PAGEREF _Toc299359013 \h </w:instrText>
        </w:r>
        <w:r>
          <w:rPr>
            <w:noProof/>
            <w:webHidden/>
          </w:rPr>
        </w:r>
        <w:r>
          <w:rPr>
            <w:noProof/>
            <w:webHidden/>
          </w:rPr>
          <w:fldChar w:fldCharType="separate"/>
        </w:r>
        <w:r w:rsidR="00FE3A5F">
          <w:rPr>
            <w:noProof/>
            <w:webHidden/>
          </w:rPr>
          <w:t>10</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14" w:history="1">
        <w:r w:rsidR="00FE3A5F" w:rsidRPr="0052282B">
          <w:rPr>
            <w:rStyle w:val="Hyperlink"/>
            <w:noProof/>
          </w:rPr>
          <w:t>3.2</w:t>
        </w:r>
        <w:r w:rsidR="00FE3A5F">
          <w:rPr>
            <w:rFonts w:eastAsiaTheme="minorEastAsia"/>
            <w:b w:val="0"/>
            <w:bCs w:val="0"/>
            <w:smallCaps w:val="0"/>
            <w:noProof/>
            <w:lang w:eastAsia="nl-NL"/>
          </w:rPr>
          <w:tab/>
        </w:r>
        <w:r w:rsidR="00FE3A5F" w:rsidRPr="0052282B">
          <w:rPr>
            <w:rStyle w:val="Hyperlink"/>
            <w:noProof/>
          </w:rPr>
          <w:t>Valutaresultaten binnen art. 10a Wet VPB 1969</w:t>
        </w:r>
        <w:r w:rsidR="00FE3A5F">
          <w:rPr>
            <w:noProof/>
            <w:webHidden/>
          </w:rPr>
          <w:tab/>
        </w:r>
        <w:r>
          <w:rPr>
            <w:noProof/>
            <w:webHidden/>
          </w:rPr>
          <w:fldChar w:fldCharType="begin"/>
        </w:r>
        <w:r w:rsidR="00FE3A5F">
          <w:rPr>
            <w:noProof/>
            <w:webHidden/>
          </w:rPr>
          <w:instrText xml:space="preserve"> PAGEREF _Toc299359014 \h </w:instrText>
        </w:r>
        <w:r>
          <w:rPr>
            <w:noProof/>
            <w:webHidden/>
          </w:rPr>
        </w:r>
        <w:r>
          <w:rPr>
            <w:noProof/>
            <w:webHidden/>
          </w:rPr>
          <w:fldChar w:fldCharType="separate"/>
        </w:r>
        <w:r w:rsidR="00FE3A5F">
          <w:rPr>
            <w:noProof/>
            <w:webHidden/>
          </w:rPr>
          <w:t>11</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15" w:history="1">
        <w:r w:rsidR="00FE3A5F" w:rsidRPr="0052282B">
          <w:rPr>
            <w:rStyle w:val="Hyperlink"/>
            <w:noProof/>
          </w:rPr>
          <w:t>3.3</w:t>
        </w:r>
        <w:r w:rsidR="00FE3A5F">
          <w:rPr>
            <w:rFonts w:eastAsiaTheme="minorEastAsia"/>
            <w:b w:val="0"/>
            <w:bCs w:val="0"/>
            <w:smallCaps w:val="0"/>
            <w:noProof/>
            <w:lang w:eastAsia="nl-NL"/>
          </w:rPr>
          <w:tab/>
        </w:r>
        <w:r w:rsidR="00FE3A5F" w:rsidRPr="0052282B">
          <w:rPr>
            <w:rStyle w:val="Hyperlink"/>
            <w:noProof/>
          </w:rPr>
          <w:t xml:space="preserve">Discussie omtrent de toepassing van </w:t>
        </w:r>
        <w:r w:rsidR="00FE3A5F" w:rsidRPr="0052282B">
          <w:rPr>
            <w:rStyle w:val="Hyperlink"/>
            <w:rFonts w:eastAsia="Calibri"/>
            <w:noProof/>
          </w:rPr>
          <w:t>art. 10a Wet VBP 1969</w:t>
        </w:r>
        <w:r w:rsidR="00FE3A5F" w:rsidRPr="0052282B">
          <w:rPr>
            <w:rStyle w:val="Hyperlink"/>
            <w:noProof/>
          </w:rPr>
          <w:t xml:space="preserve"> op valutaresultaten</w:t>
        </w:r>
        <w:r w:rsidR="00FE3A5F">
          <w:rPr>
            <w:noProof/>
            <w:webHidden/>
          </w:rPr>
          <w:tab/>
        </w:r>
        <w:r>
          <w:rPr>
            <w:noProof/>
            <w:webHidden/>
          </w:rPr>
          <w:fldChar w:fldCharType="begin"/>
        </w:r>
        <w:r w:rsidR="00FE3A5F">
          <w:rPr>
            <w:noProof/>
            <w:webHidden/>
          </w:rPr>
          <w:instrText xml:space="preserve"> PAGEREF _Toc299359015 \h </w:instrText>
        </w:r>
        <w:r>
          <w:rPr>
            <w:noProof/>
            <w:webHidden/>
          </w:rPr>
        </w:r>
        <w:r>
          <w:rPr>
            <w:noProof/>
            <w:webHidden/>
          </w:rPr>
          <w:fldChar w:fldCharType="separate"/>
        </w:r>
        <w:r w:rsidR="00FE3A5F">
          <w:rPr>
            <w:noProof/>
            <w:webHidden/>
          </w:rPr>
          <w:t>12</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16" w:history="1">
        <w:r w:rsidR="00FE3A5F" w:rsidRPr="0052282B">
          <w:rPr>
            <w:rStyle w:val="Hyperlink"/>
            <w:noProof/>
          </w:rPr>
          <w:t>3.4</w:t>
        </w:r>
        <w:r w:rsidR="00FE3A5F">
          <w:rPr>
            <w:rFonts w:eastAsiaTheme="minorEastAsia"/>
            <w:b w:val="0"/>
            <w:bCs w:val="0"/>
            <w:smallCaps w:val="0"/>
            <w:noProof/>
            <w:lang w:eastAsia="nl-NL"/>
          </w:rPr>
          <w:tab/>
        </w:r>
        <w:r w:rsidR="00FE3A5F" w:rsidRPr="0052282B">
          <w:rPr>
            <w:rStyle w:val="Hyperlink"/>
            <w:noProof/>
          </w:rPr>
          <w:t>Verschillende componenten binnen het valutaresultaat</w:t>
        </w:r>
        <w:r w:rsidR="00FE3A5F">
          <w:rPr>
            <w:noProof/>
            <w:webHidden/>
          </w:rPr>
          <w:tab/>
        </w:r>
        <w:r>
          <w:rPr>
            <w:noProof/>
            <w:webHidden/>
          </w:rPr>
          <w:fldChar w:fldCharType="begin"/>
        </w:r>
        <w:r w:rsidR="00FE3A5F">
          <w:rPr>
            <w:noProof/>
            <w:webHidden/>
          </w:rPr>
          <w:instrText xml:space="preserve"> PAGEREF _Toc299359016 \h </w:instrText>
        </w:r>
        <w:r>
          <w:rPr>
            <w:noProof/>
            <w:webHidden/>
          </w:rPr>
        </w:r>
        <w:r>
          <w:rPr>
            <w:noProof/>
            <w:webHidden/>
          </w:rPr>
          <w:fldChar w:fldCharType="separate"/>
        </w:r>
        <w:r w:rsidR="00FE3A5F">
          <w:rPr>
            <w:noProof/>
            <w:webHidden/>
          </w:rPr>
          <w:t>16</w:t>
        </w:r>
        <w:r>
          <w:rPr>
            <w:noProof/>
            <w:webHidden/>
          </w:rPr>
          <w:fldChar w:fldCharType="end"/>
        </w:r>
      </w:hyperlink>
    </w:p>
    <w:p w:rsidR="00FE3A5F" w:rsidRDefault="00DA1106">
      <w:pPr>
        <w:pStyle w:val="TOC1"/>
        <w:tabs>
          <w:tab w:val="left" w:pos="390"/>
          <w:tab w:val="right" w:pos="9062"/>
        </w:tabs>
        <w:rPr>
          <w:rFonts w:eastAsiaTheme="minorEastAsia"/>
          <w:b w:val="0"/>
          <w:bCs w:val="0"/>
          <w:caps w:val="0"/>
          <w:noProof/>
          <w:u w:val="none"/>
          <w:lang w:eastAsia="nl-NL"/>
        </w:rPr>
      </w:pPr>
      <w:hyperlink w:anchor="_Toc299359017" w:history="1">
        <w:r w:rsidR="00FE3A5F" w:rsidRPr="0052282B">
          <w:rPr>
            <w:rStyle w:val="Hyperlink"/>
            <w:noProof/>
          </w:rPr>
          <w:t>4.</w:t>
        </w:r>
        <w:r w:rsidR="00FE3A5F">
          <w:rPr>
            <w:rFonts w:eastAsiaTheme="minorEastAsia"/>
            <w:b w:val="0"/>
            <w:bCs w:val="0"/>
            <w:caps w:val="0"/>
            <w:noProof/>
            <w:u w:val="none"/>
            <w:lang w:eastAsia="nl-NL"/>
          </w:rPr>
          <w:tab/>
        </w:r>
        <w:r w:rsidR="00FE3A5F" w:rsidRPr="0052282B">
          <w:rPr>
            <w:rStyle w:val="Hyperlink"/>
            <w:noProof/>
          </w:rPr>
          <w:t>De voorspelbaarheid van wisselkoersresultaten</w:t>
        </w:r>
        <w:r w:rsidR="00FE3A5F">
          <w:rPr>
            <w:noProof/>
            <w:webHidden/>
          </w:rPr>
          <w:tab/>
        </w:r>
        <w:r>
          <w:rPr>
            <w:noProof/>
            <w:webHidden/>
          </w:rPr>
          <w:fldChar w:fldCharType="begin"/>
        </w:r>
        <w:r w:rsidR="00FE3A5F">
          <w:rPr>
            <w:noProof/>
            <w:webHidden/>
          </w:rPr>
          <w:instrText xml:space="preserve"> PAGEREF _Toc299359017 \h </w:instrText>
        </w:r>
        <w:r>
          <w:rPr>
            <w:noProof/>
            <w:webHidden/>
          </w:rPr>
        </w:r>
        <w:r>
          <w:rPr>
            <w:noProof/>
            <w:webHidden/>
          </w:rPr>
          <w:fldChar w:fldCharType="separate"/>
        </w:r>
        <w:r w:rsidR="00FE3A5F">
          <w:rPr>
            <w:noProof/>
            <w:webHidden/>
          </w:rPr>
          <w:t>18</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18" w:history="1">
        <w:r w:rsidR="00FE3A5F" w:rsidRPr="0052282B">
          <w:rPr>
            <w:rStyle w:val="Hyperlink"/>
            <w:noProof/>
          </w:rPr>
          <w:t>4.1</w:t>
        </w:r>
        <w:r w:rsidR="00FE3A5F">
          <w:rPr>
            <w:rFonts w:eastAsiaTheme="minorEastAsia"/>
            <w:b w:val="0"/>
            <w:bCs w:val="0"/>
            <w:smallCaps w:val="0"/>
            <w:noProof/>
            <w:lang w:eastAsia="nl-NL"/>
          </w:rPr>
          <w:tab/>
        </w:r>
        <w:r w:rsidR="00FE3A5F" w:rsidRPr="0052282B">
          <w:rPr>
            <w:rStyle w:val="Hyperlink"/>
            <w:noProof/>
          </w:rPr>
          <w:t>Rente pariteit</w:t>
        </w:r>
        <w:r w:rsidR="00FE3A5F">
          <w:rPr>
            <w:noProof/>
            <w:webHidden/>
          </w:rPr>
          <w:tab/>
        </w:r>
        <w:r>
          <w:rPr>
            <w:noProof/>
            <w:webHidden/>
          </w:rPr>
          <w:fldChar w:fldCharType="begin"/>
        </w:r>
        <w:r w:rsidR="00FE3A5F">
          <w:rPr>
            <w:noProof/>
            <w:webHidden/>
          </w:rPr>
          <w:instrText xml:space="preserve"> PAGEREF _Toc299359018 \h </w:instrText>
        </w:r>
        <w:r>
          <w:rPr>
            <w:noProof/>
            <w:webHidden/>
          </w:rPr>
        </w:r>
        <w:r>
          <w:rPr>
            <w:noProof/>
            <w:webHidden/>
          </w:rPr>
          <w:fldChar w:fldCharType="separate"/>
        </w:r>
        <w:r w:rsidR="00FE3A5F">
          <w:rPr>
            <w:noProof/>
            <w:webHidden/>
          </w:rPr>
          <w:t>19</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19" w:history="1">
        <w:r w:rsidR="00FE3A5F" w:rsidRPr="0052282B">
          <w:rPr>
            <w:rStyle w:val="Hyperlink"/>
            <w:noProof/>
          </w:rPr>
          <w:t>4.2</w:t>
        </w:r>
        <w:r w:rsidR="00FE3A5F">
          <w:rPr>
            <w:rFonts w:eastAsiaTheme="minorEastAsia"/>
            <w:b w:val="0"/>
            <w:bCs w:val="0"/>
            <w:smallCaps w:val="0"/>
            <w:noProof/>
            <w:lang w:eastAsia="nl-NL"/>
          </w:rPr>
          <w:tab/>
        </w:r>
        <w:r w:rsidR="00FE3A5F" w:rsidRPr="0052282B">
          <w:rPr>
            <w:rStyle w:val="Hyperlink"/>
            <w:noProof/>
          </w:rPr>
          <w:t>De voorspellingswaarde door de jaren heen</w:t>
        </w:r>
        <w:r w:rsidR="00FE3A5F">
          <w:rPr>
            <w:noProof/>
            <w:webHidden/>
          </w:rPr>
          <w:tab/>
        </w:r>
        <w:r>
          <w:rPr>
            <w:noProof/>
            <w:webHidden/>
          </w:rPr>
          <w:fldChar w:fldCharType="begin"/>
        </w:r>
        <w:r w:rsidR="00FE3A5F">
          <w:rPr>
            <w:noProof/>
            <w:webHidden/>
          </w:rPr>
          <w:instrText xml:space="preserve"> PAGEREF _Toc299359019 \h </w:instrText>
        </w:r>
        <w:r>
          <w:rPr>
            <w:noProof/>
            <w:webHidden/>
          </w:rPr>
        </w:r>
        <w:r>
          <w:rPr>
            <w:noProof/>
            <w:webHidden/>
          </w:rPr>
          <w:fldChar w:fldCharType="separate"/>
        </w:r>
        <w:r w:rsidR="00FE3A5F">
          <w:rPr>
            <w:noProof/>
            <w:webHidden/>
          </w:rPr>
          <w:t>22</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20" w:history="1">
        <w:r w:rsidR="00FE3A5F" w:rsidRPr="0052282B">
          <w:rPr>
            <w:rStyle w:val="Hyperlink"/>
            <w:noProof/>
          </w:rPr>
          <w:t>4.3</w:t>
        </w:r>
        <w:r w:rsidR="00FE3A5F">
          <w:rPr>
            <w:rFonts w:eastAsiaTheme="minorEastAsia"/>
            <w:b w:val="0"/>
            <w:bCs w:val="0"/>
            <w:smallCaps w:val="0"/>
            <w:noProof/>
            <w:lang w:eastAsia="nl-NL"/>
          </w:rPr>
          <w:tab/>
        </w:r>
        <w:r w:rsidR="00FE3A5F" w:rsidRPr="0052282B">
          <w:rPr>
            <w:rStyle w:val="Hyperlink"/>
            <w:noProof/>
          </w:rPr>
          <w:t>De interestpariteit in extreme omstandigheden</w:t>
        </w:r>
        <w:r w:rsidR="00FE3A5F">
          <w:rPr>
            <w:noProof/>
            <w:webHidden/>
          </w:rPr>
          <w:tab/>
        </w:r>
        <w:r>
          <w:rPr>
            <w:noProof/>
            <w:webHidden/>
          </w:rPr>
          <w:fldChar w:fldCharType="begin"/>
        </w:r>
        <w:r w:rsidR="00FE3A5F">
          <w:rPr>
            <w:noProof/>
            <w:webHidden/>
          </w:rPr>
          <w:instrText xml:space="preserve"> PAGEREF _Toc299359020 \h </w:instrText>
        </w:r>
        <w:r>
          <w:rPr>
            <w:noProof/>
            <w:webHidden/>
          </w:rPr>
        </w:r>
        <w:r>
          <w:rPr>
            <w:noProof/>
            <w:webHidden/>
          </w:rPr>
          <w:fldChar w:fldCharType="separate"/>
        </w:r>
        <w:r w:rsidR="00FE3A5F">
          <w:rPr>
            <w:noProof/>
            <w:webHidden/>
          </w:rPr>
          <w:t>26</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21" w:history="1">
        <w:r w:rsidR="00FE3A5F" w:rsidRPr="0052282B">
          <w:rPr>
            <w:rStyle w:val="Hyperlink"/>
            <w:noProof/>
          </w:rPr>
          <w:t>4.4</w:t>
        </w:r>
        <w:r w:rsidR="00FE3A5F">
          <w:rPr>
            <w:rFonts w:eastAsiaTheme="minorEastAsia"/>
            <w:b w:val="0"/>
            <w:bCs w:val="0"/>
            <w:smallCaps w:val="0"/>
            <w:noProof/>
            <w:lang w:eastAsia="nl-NL"/>
          </w:rPr>
          <w:tab/>
        </w:r>
        <w:r w:rsidR="00FE3A5F" w:rsidRPr="0052282B">
          <w:rPr>
            <w:rStyle w:val="Hyperlink"/>
            <w:noProof/>
          </w:rPr>
          <w:t>Het Spaanse Peseta’s Arrest</w:t>
        </w:r>
        <w:r w:rsidR="00FE3A5F">
          <w:rPr>
            <w:noProof/>
            <w:webHidden/>
          </w:rPr>
          <w:tab/>
        </w:r>
        <w:r>
          <w:rPr>
            <w:noProof/>
            <w:webHidden/>
          </w:rPr>
          <w:fldChar w:fldCharType="begin"/>
        </w:r>
        <w:r w:rsidR="00FE3A5F">
          <w:rPr>
            <w:noProof/>
            <w:webHidden/>
          </w:rPr>
          <w:instrText xml:space="preserve"> PAGEREF _Toc299359021 \h </w:instrText>
        </w:r>
        <w:r>
          <w:rPr>
            <w:noProof/>
            <w:webHidden/>
          </w:rPr>
        </w:r>
        <w:r>
          <w:rPr>
            <w:noProof/>
            <w:webHidden/>
          </w:rPr>
          <w:fldChar w:fldCharType="separate"/>
        </w:r>
        <w:r w:rsidR="00FE3A5F">
          <w:rPr>
            <w:noProof/>
            <w:webHidden/>
          </w:rPr>
          <w:t>28</w:t>
        </w:r>
        <w:r>
          <w:rPr>
            <w:noProof/>
            <w:webHidden/>
          </w:rPr>
          <w:fldChar w:fldCharType="end"/>
        </w:r>
      </w:hyperlink>
    </w:p>
    <w:p w:rsidR="00FE3A5F" w:rsidRDefault="00DA1106">
      <w:pPr>
        <w:pStyle w:val="TOC2"/>
        <w:tabs>
          <w:tab w:val="left" w:pos="502"/>
          <w:tab w:val="right" w:pos="9062"/>
        </w:tabs>
        <w:rPr>
          <w:rFonts w:eastAsiaTheme="minorEastAsia"/>
          <w:b w:val="0"/>
          <w:bCs w:val="0"/>
          <w:smallCaps w:val="0"/>
          <w:noProof/>
          <w:lang w:eastAsia="nl-NL"/>
        </w:rPr>
      </w:pPr>
      <w:hyperlink w:anchor="_Toc299359022" w:history="1">
        <w:r w:rsidR="00FE3A5F" w:rsidRPr="0052282B">
          <w:rPr>
            <w:rStyle w:val="Hyperlink"/>
            <w:noProof/>
          </w:rPr>
          <w:t>4.5</w:t>
        </w:r>
        <w:r w:rsidR="00FE3A5F">
          <w:rPr>
            <w:rFonts w:eastAsiaTheme="minorEastAsia"/>
            <w:b w:val="0"/>
            <w:bCs w:val="0"/>
            <w:smallCaps w:val="0"/>
            <w:noProof/>
            <w:lang w:eastAsia="nl-NL"/>
          </w:rPr>
          <w:tab/>
        </w:r>
        <w:r w:rsidR="00FE3A5F" w:rsidRPr="0052282B">
          <w:rPr>
            <w:rStyle w:val="Hyperlink"/>
            <w:noProof/>
          </w:rPr>
          <w:t>Conclusie</w:t>
        </w:r>
        <w:r w:rsidR="00FE3A5F">
          <w:rPr>
            <w:noProof/>
            <w:webHidden/>
          </w:rPr>
          <w:tab/>
        </w:r>
        <w:r>
          <w:rPr>
            <w:noProof/>
            <w:webHidden/>
          </w:rPr>
          <w:fldChar w:fldCharType="begin"/>
        </w:r>
        <w:r w:rsidR="00FE3A5F">
          <w:rPr>
            <w:noProof/>
            <w:webHidden/>
          </w:rPr>
          <w:instrText xml:space="preserve"> PAGEREF _Toc299359022 \h </w:instrText>
        </w:r>
        <w:r>
          <w:rPr>
            <w:noProof/>
            <w:webHidden/>
          </w:rPr>
        </w:r>
        <w:r>
          <w:rPr>
            <w:noProof/>
            <w:webHidden/>
          </w:rPr>
          <w:fldChar w:fldCharType="separate"/>
        </w:r>
        <w:r w:rsidR="00FE3A5F">
          <w:rPr>
            <w:noProof/>
            <w:webHidden/>
          </w:rPr>
          <w:t>29</w:t>
        </w:r>
        <w:r>
          <w:rPr>
            <w:noProof/>
            <w:webHidden/>
          </w:rPr>
          <w:fldChar w:fldCharType="end"/>
        </w:r>
      </w:hyperlink>
    </w:p>
    <w:p w:rsidR="00FE3A5F" w:rsidRDefault="00DA1106">
      <w:pPr>
        <w:pStyle w:val="TOC1"/>
        <w:tabs>
          <w:tab w:val="left" w:pos="390"/>
          <w:tab w:val="right" w:pos="9062"/>
        </w:tabs>
        <w:rPr>
          <w:rFonts w:eastAsiaTheme="minorEastAsia"/>
          <w:b w:val="0"/>
          <w:bCs w:val="0"/>
          <w:caps w:val="0"/>
          <w:noProof/>
          <w:u w:val="none"/>
          <w:lang w:eastAsia="nl-NL"/>
        </w:rPr>
      </w:pPr>
      <w:hyperlink w:anchor="_Toc299359023" w:history="1">
        <w:r w:rsidR="00FE3A5F" w:rsidRPr="0052282B">
          <w:rPr>
            <w:rStyle w:val="Hyperlink"/>
            <w:noProof/>
          </w:rPr>
          <w:t>5.</w:t>
        </w:r>
        <w:r w:rsidR="00FE3A5F">
          <w:rPr>
            <w:rFonts w:eastAsiaTheme="minorEastAsia"/>
            <w:b w:val="0"/>
            <w:bCs w:val="0"/>
            <w:caps w:val="0"/>
            <w:noProof/>
            <w:u w:val="none"/>
            <w:lang w:eastAsia="nl-NL"/>
          </w:rPr>
          <w:tab/>
        </w:r>
        <w:r w:rsidR="00FE3A5F" w:rsidRPr="0052282B">
          <w:rPr>
            <w:rStyle w:val="Hyperlink"/>
            <w:noProof/>
          </w:rPr>
          <w:t>Beantwoording van de hoofdvraag</w:t>
        </w:r>
        <w:r w:rsidR="00FE3A5F">
          <w:rPr>
            <w:noProof/>
            <w:webHidden/>
          </w:rPr>
          <w:tab/>
        </w:r>
        <w:r>
          <w:rPr>
            <w:noProof/>
            <w:webHidden/>
          </w:rPr>
          <w:fldChar w:fldCharType="begin"/>
        </w:r>
        <w:r w:rsidR="00FE3A5F">
          <w:rPr>
            <w:noProof/>
            <w:webHidden/>
          </w:rPr>
          <w:instrText xml:space="preserve"> PAGEREF _Toc299359023 \h </w:instrText>
        </w:r>
        <w:r>
          <w:rPr>
            <w:noProof/>
            <w:webHidden/>
          </w:rPr>
        </w:r>
        <w:r>
          <w:rPr>
            <w:noProof/>
            <w:webHidden/>
          </w:rPr>
          <w:fldChar w:fldCharType="separate"/>
        </w:r>
        <w:r w:rsidR="00FE3A5F">
          <w:rPr>
            <w:noProof/>
            <w:webHidden/>
          </w:rPr>
          <w:t>31</w:t>
        </w:r>
        <w:r>
          <w:rPr>
            <w:noProof/>
            <w:webHidden/>
          </w:rPr>
          <w:fldChar w:fldCharType="end"/>
        </w:r>
      </w:hyperlink>
    </w:p>
    <w:p w:rsidR="00FE3A5F" w:rsidRDefault="00DA1106">
      <w:pPr>
        <w:pStyle w:val="TOC1"/>
        <w:tabs>
          <w:tab w:val="left" w:pos="390"/>
          <w:tab w:val="right" w:pos="9062"/>
        </w:tabs>
        <w:rPr>
          <w:rFonts w:eastAsiaTheme="minorEastAsia"/>
          <w:b w:val="0"/>
          <w:bCs w:val="0"/>
          <w:caps w:val="0"/>
          <w:noProof/>
          <w:u w:val="none"/>
          <w:lang w:eastAsia="nl-NL"/>
        </w:rPr>
      </w:pPr>
      <w:hyperlink w:anchor="_Toc299359024" w:history="1">
        <w:r w:rsidR="00FE3A5F" w:rsidRPr="0052282B">
          <w:rPr>
            <w:rStyle w:val="Hyperlink"/>
            <w:noProof/>
          </w:rPr>
          <w:t>6.</w:t>
        </w:r>
        <w:r w:rsidR="00FE3A5F">
          <w:rPr>
            <w:rFonts w:eastAsiaTheme="minorEastAsia"/>
            <w:b w:val="0"/>
            <w:bCs w:val="0"/>
            <w:caps w:val="0"/>
            <w:noProof/>
            <w:u w:val="none"/>
            <w:lang w:eastAsia="nl-NL"/>
          </w:rPr>
          <w:tab/>
        </w:r>
        <w:r w:rsidR="00FE3A5F" w:rsidRPr="0052282B">
          <w:rPr>
            <w:rStyle w:val="Hyperlink"/>
            <w:noProof/>
          </w:rPr>
          <w:t>Bronnen stuk tot fraus legis en tweede deel</w:t>
        </w:r>
        <w:r w:rsidR="00FE3A5F">
          <w:rPr>
            <w:noProof/>
            <w:webHidden/>
          </w:rPr>
          <w:tab/>
        </w:r>
        <w:r>
          <w:rPr>
            <w:noProof/>
            <w:webHidden/>
          </w:rPr>
          <w:fldChar w:fldCharType="begin"/>
        </w:r>
        <w:r w:rsidR="00FE3A5F">
          <w:rPr>
            <w:noProof/>
            <w:webHidden/>
          </w:rPr>
          <w:instrText xml:space="preserve"> PAGEREF _Toc299359024 \h </w:instrText>
        </w:r>
        <w:r>
          <w:rPr>
            <w:noProof/>
            <w:webHidden/>
          </w:rPr>
        </w:r>
        <w:r>
          <w:rPr>
            <w:noProof/>
            <w:webHidden/>
          </w:rPr>
          <w:fldChar w:fldCharType="separate"/>
        </w:r>
        <w:r w:rsidR="00FE3A5F">
          <w:rPr>
            <w:noProof/>
            <w:webHidden/>
          </w:rPr>
          <w:t>33</w:t>
        </w:r>
        <w:r>
          <w:rPr>
            <w:noProof/>
            <w:webHidden/>
          </w:rPr>
          <w:fldChar w:fldCharType="end"/>
        </w:r>
      </w:hyperlink>
    </w:p>
    <w:p w:rsidR="00FE3A5F" w:rsidRDefault="00DA1106">
      <w:pPr>
        <w:pStyle w:val="TOC2"/>
        <w:tabs>
          <w:tab w:val="right" w:pos="9062"/>
        </w:tabs>
        <w:rPr>
          <w:rFonts w:eastAsiaTheme="minorEastAsia"/>
          <w:b w:val="0"/>
          <w:bCs w:val="0"/>
          <w:smallCaps w:val="0"/>
          <w:noProof/>
          <w:lang w:eastAsia="nl-NL"/>
        </w:rPr>
      </w:pPr>
      <w:hyperlink w:anchor="_Toc299359025" w:history="1">
        <w:r w:rsidR="00FE3A5F" w:rsidRPr="0052282B">
          <w:rPr>
            <w:rStyle w:val="Hyperlink"/>
            <w:noProof/>
          </w:rPr>
          <w:t>Hoge Raad</w:t>
        </w:r>
        <w:r w:rsidR="00FE3A5F">
          <w:rPr>
            <w:noProof/>
            <w:webHidden/>
          </w:rPr>
          <w:tab/>
        </w:r>
        <w:r>
          <w:rPr>
            <w:noProof/>
            <w:webHidden/>
          </w:rPr>
          <w:fldChar w:fldCharType="begin"/>
        </w:r>
        <w:r w:rsidR="00FE3A5F">
          <w:rPr>
            <w:noProof/>
            <w:webHidden/>
          </w:rPr>
          <w:instrText xml:space="preserve"> PAGEREF _Toc299359025 \h </w:instrText>
        </w:r>
        <w:r>
          <w:rPr>
            <w:noProof/>
            <w:webHidden/>
          </w:rPr>
        </w:r>
        <w:r>
          <w:rPr>
            <w:noProof/>
            <w:webHidden/>
          </w:rPr>
          <w:fldChar w:fldCharType="separate"/>
        </w:r>
        <w:r w:rsidR="00FE3A5F">
          <w:rPr>
            <w:noProof/>
            <w:webHidden/>
          </w:rPr>
          <w:t>33</w:t>
        </w:r>
        <w:r>
          <w:rPr>
            <w:noProof/>
            <w:webHidden/>
          </w:rPr>
          <w:fldChar w:fldCharType="end"/>
        </w:r>
      </w:hyperlink>
    </w:p>
    <w:p w:rsidR="00FE3A5F" w:rsidRDefault="00DA1106">
      <w:pPr>
        <w:pStyle w:val="TOC2"/>
        <w:tabs>
          <w:tab w:val="right" w:pos="9062"/>
        </w:tabs>
        <w:rPr>
          <w:rFonts w:eastAsiaTheme="minorEastAsia"/>
          <w:b w:val="0"/>
          <w:bCs w:val="0"/>
          <w:smallCaps w:val="0"/>
          <w:noProof/>
          <w:lang w:eastAsia="nl-NL"/>
        </w:rPr>
      </w:pPr>
      <w:hyperlink w:anchor="_Toc299359026" w:history="1">
        <w:r w:rsidR="00FE3A5F" w:rsidRPr="0052282B">
          <w:rPr>
            <w:rStyle w:val="Hyperlink"/>
            <w:noProof/>
          </w:rPr>
          <w:t>Hoven</w:t>
        </w:r>
        <w:r w:rsidR="00FE3A5F">
          <w:rPr>
            <w:noProof/>
            <w:webHidden/>
          </w:rPr>
          <w:tab/>
        </w:r>
        <w:r>
          <w:rPr>
            <w:noProof/>
            <w:webHidden/>
          </w:rPr>
          <w:fldChar w:fldCharType="begin"/>
        </w:r>
        <w:r w:rsidR="00FE3A5F">
          <w:rPr>
            <w:noProof/>
            <w:webHidden/>
          </w:rPr>
          <w:instrText xml:space="preserve"> PAGEREF _Toc299359026 \h </w:instrText>
        </w:r>
        <w:r>
          <w:rPr>
            <w:noProof/>
            <w:webHidden/>
          </w:rPr>
        </w:r>
        <w:r>
          <w:rPr>
            <w:noProof/>
            <w:webHidden/>
          </w:rPr>
          <w:fldChar w:fldCharType="separate"/>
        </w:r>
        <w:r w:rsidR="00FE3A5F">
          <w:rPr>
            <w:noProof/>
            <w:webHidden/>
          </w:rPr>
          <w:t>33</w:t>
        </w:r>
        <w:r>
          <w:rPr>
            <w:noProof/>
            <w:webHidden/>
          </w:rPr>
          <w:fldChar w:fldCharType="end"/>
        </w:r>
      </w:hyperlink>
    </w:p>
    <w:p w:rsidR="00FE3A5F" w:rsidRDefault="00DA1106">
      <w:pPr>
        <w:pStyle w:val="TOC2"/>
        <w:tabs>
          <w:tab w:val="right" w:pos="9062"/>
        </w:tabs>
        <w:rPr>
          <w:rFonts w:eastAsiaTheme="minorEastAsia"/>
          <w:b w:val="0"/>
          <w:bCs w:val="0"/>
          <w:smallCaps w:val="0"/>
          <w:noProof/>
          <w:lang w:eastAsia="nl-NL"/>
        </w:rPr>
      </w:pPr>
      <w:hyperlink w:anchor="_Toc299359027" w:history="1">
        <w:r w:rsidR="00FE3A5F" w:rsidRPr="0052282B">
          <w:rPr>
            <w:rStyle w:val="Hyperlink"/>
            <w:noProof/>
          </w:rPr>
          <w:t>Rechtbanken</w:t>
        </w:r>
        <w:r w:rsidR="00FE3A5F">
          <w:rPr>
            <w:noProof/>
            <w:webHidden/>
          </w:rPr>
          <w:tab/>
        </w:r>
        <w:r>
          <w:rPr>
            <w:noProof/>
            <w:webHidden/>
          </w:rPr>
          <w:fldChar w:fldCharType="begin"/>
        </w:r>
        <w:r w:rsidR="00FE3A5F">
          <w:rPr>
            <w:noProof/>
            <w:webHidden/>
          </w:rPr>
          <w:instrText xml:space="preserve"> PAGEREF _Toc299359027 \h </w:instrText>
        </w:r>
        <w:r>
          <w:rPr>
            <w:noProof/>
            <w:webHidden/>
          </w:rPr>
        </w:r>
        <w:r>
          <w:rPr>
            <w:noProof/>
            <w:webHidden/>
          </w:rPr>
          <w:fldChar w:fldCharType="separate"/>
        </w:r>
        <w:r w:rsidR="00FE3A5F">
          <w:rPr>
            <w:noProof/>
            <w:webHidden/>
          </w:rPr>
          <w:t>33</w:t>
        </w:r>
        <w:r>
          <w:rPr>
            <w:noProof/>
            <w:webHidden/>
          </w:rPr>
          <w:fldChar w:fldCharType="end"/>
        </w:r>
      </w:hyperlink>
    </w:p>
    <w:p w:rsidR="00FE3A5F" w:rsidRDefault="00DA1106">
      <w:pPr>
        <w:pStyle w:val="TOC2"/>
        <w:tabs>
          <w:tab w:val="right" w:pos="9062"/>
        </w:tabs>
        <w:rPr>
          <w:rFonts w:eastAsiaTheme="minorEastAsia"/>
          <w:b w:val="0"/>
          <w:bCs w:val="0"/>
          <w:smallCaps w:val="0"/>
          <w:noProof/>
          <w:lang w:eastAsia="nl-NL"/>
        </w:rPr>
      </w:pPr>
      <w:hyperlink w:anchor="_Toc299359028" w:history="1">
        <w:r w:rsidR="00FE3A5F" w:rsidRPr="0052282B">
          <w:rPr>
            <w:rStyle w:val="Hyperlink"/>
            <w:noProof/>
          </w:rPr>
          <w:t>Literatuur</w:t>
        </w:r>
        <w:r w:rsidR="00FE3A5F">
          <w:rPr>
            <w:noProof/>
            <w:webHidden/>
          </w:rPr>
          <w:tab/>
        </w:r>
        <w:r>
          <w:rPr>
            <w:noProof/>
            <w:webHidden/>
          </w:rPr>
          <w:fldChar w:fldCharType="begin"/>
        </w:r>
        <w:r w:rsidR="00FE3A5F">
          <w:rPr>
            <w:noProof/>
            <w:webHidden/>
          </w:rPr>
          <w:instrText xml:space="preserve"> PAGEREF _Toc299359028 \h </w:instrText>
        </w:r>
        <w:r>
          <w:rPr>
            <w:noProof/>
            <w:webHidden/>
          </w:rPr>
        </w:r>
        <w:r>
          <w:rPr>
            <w:noProof/>
            <w:webHidden/>
          </w:rPr>
          <w:fldChar w:fldCharType="separate"/>
        </w:r>
        <w:r w:rsidR="00FE3A5F">
          <w:rPr>
            <w:noProof/>
            <w:webHidden/>
          </w:rPr>
          <w:t>33</w:t>
        </w:r>
        <w:r>
          <w:rPr>
            <w:noProof/>
            <w:webHidden/>
          </w:rPr>
          <w:fldChar w:fldCharType="end"/>
        </w:r>
      </w:hyperlink>
    </w:p>
    <w:p w:rsidR="00FE3A5F" w:rsidRDefault="00DA1106">
      <w:pPr>
        <w:pStyle w:val="TOC2"/>
        <w:tabs>
          <w:tab w:val="right" w:pos="9062"/>
        </w:tabs>
        <w:rPr>
          <w:rFonts w:eastAsiaTheme="minorEastAsia"/>
          <w:b w:val="0"/>
          <w:bCs w:val="0"/>
          <w:smallCaps w:val="0"/>
          <w:noProof/>
          <w:lang w:eastAsia="nl-NL"/>
        </w:rPr>
      </w:pPr>
      <w:hyperlink w:anchor="_Toc299359029" w:history="1">
        <w:r w:rsidR="00FE3A5F" w:rsidRPr="0052282B">
          <w:rPr>
            <w:rStyle w:val="Hyperlink"/>
            <w:noProof/>
          </w:rPr>
          <w:t>Overige bronnen</w:t>
        </w:r>
        <w:r w:rsidR="00FE3A5F">
          <w:rPr>
            <w:noProof/>
            <w:webHidden/>
          </w:rPr>
          <w:tab/>
        </w:r>
        <w:r>
          <w:rPr>
            <w:noProof/>
            <w:webHidden/>
          </w:rPr>
          <w:fldChar w:fldCharType="begin"/>
        </w:r>
        <w:r w:rsidR="00FE3A5F">
          <w:rPr>
            <w:noProof/>
            <w:webHidden/>
          </w:rPr>
          <w:instrText xml:space="preserve"> PAGEREF _Toc299359029 \h </w:instrText>
        </w:r>
        <w:r>
          <w:rPr>
            <w:noProof/>
            <w:webHidden/>
          </w:rPr>
        </w:r>
        <w:r>
          <w:rPr>
            <w:noProof/>
            <w:webHidden/>
          </w:rPr>
          <w:fldChar w:fldCharType="separate"/>
        </w:r>
        <w:r w:rsidR="00FE3A5F">
          <w:rPr>
            <w:noProof/>
            <w:webHidden/>
          </w:rPr>
          <w:t>34</w:t>
        </w:r>
        <w:r>
          <w:rPr>
            <w:noProof/>
            <w:webHidden/>
          </w:rPr>
          <w:fldChar w:fldCharType="end"/>
        </w:r>
      </w:hyperlink>
    </w:p>
    <w:p w:rsidR="009F60CF" w:rsidRDefault="00DA1106">
      <w:r>
        <w:fldChar w:fldCharType="end"/>
      </w:r>
      <w:r w:rsidR="009F60CF">
        <w:br w:type="page"/>
      </w:r>
    </w:p>
    <w:p w:rsidR="009F60CF" w:rsidRPr="00FE1FE5" w:rsidRDefault="009F60CF" w:rsidP="00AF7F7A">
      <w:pPr>
        <w:pStyle w:val="Heading1"/>
        <w:numPr>
          <w:ilvl w:val="0"/>
          <w:numId w:val="4"/>
        </w:numPr>
        <w:rPr>
          <w:rFonts w:eastAsia="Times New Roman"/>
        </w:rPr>
      </w:pPr>
      <w:bookmarkStart w:id="1" w:name="_Toc299359008"/>
      <w:r w:rsidRPr="00FE1FE5">
        <w:rPr>
          <w:rFonts w:eastAsia="Times New Roman"/>
        </w:rPr>
        <w:lastRenderedPageBreak/>
        <w:t>Inleiding</w:t>
      </w:r>
      <w:bookmarkEnd w:id="1"/>
    </w:p>
    <w:p w:rsidR="00024FC1" w:rsidRPr="00FE1FE5" w:rsidRDefault="00024FC1" w:rsidP="00024FC1">
      <w:pPr>
        <w:pStyle w:val="NoSpacing"/>
        <w:spacing w:line="360" w:lineRule="auto"/>
      </w:pPr>
      <w:bookmarkStart w:id="2" w:name="_Toc299359009"/>
      <w:r>
        <w:t>Per</w:t>
      </w:r>
      <w:r w:rsidRPr="00FE1FE5">
        <w:t xml:space="preserve"> 26 december 1996 werd art</w:t>
      </w:r>
      <w:r>
        <w:t>.</w:t>
      </w:r>
      <w:r w:rsidRPr="00FE1FE5">
        <w:t xml:space="preserve"> 10a Wet VPB 1969 ingevoerd</w:t>
      </w:r>
      <w:r>
        <w:rPr>
          <w:rStyle w:val="FootnoteReference"/>
        </w:rPr>
        <w:footnoteReference w:id="1"/>
      </w:r>
      <w:r w:rsidRPr="00FE1FE5">
        <w:t xml:space="preserve">. In dit artikel worden bij bepaalde </w:t>
      </w:r>
      <w:r>
        <w:t xml:space="preserve">besmette </w:t>
      </w:r>
      <w:r w:rsidRPr="00FE1FE5">
        <w:t xml:space="preserve">rechtshandelingen de kostenaftrekmogelijkheden niet toegestaan. Het is een middel om misbruik van de wet door belastingplichtigen tegen te gaan. Jarenlang was met behulp </w:t>
      </w:r>
      <w:r>
        <w:t xml:space="preserve">van </w:t>
      </w:r>
      <w:proofErr w:type="spellStart"/>
      <w:r>
        <w:t>fraus</w:t>
      </w:r>
      <w:proofErr w:type="spellEnd"/>
      <w:r>
        <w:t xml:space="preserve"> </w:t>
      </w:r>
      <w:proofErr w:type="spellStart"/>
      <w:r>
        <w:t>legis</w:t>
      </w:r>
      <w:proofErr w:type="spellEnd"/>
      <w:r>
        <w:t xml:space="preserve"> (misbruik van recht</w:t>
      </w:r>
      <w:r w:rsidRPr="00FE1FE5">
        <w:t xml:space="preserve">) jurisprudentie geprobeerd </w:t>
      </w:r>
      <w:r>
        <w:t>dit</w:t>
      </w:r>
      <w:r w:rsidRPr="00FE1FE5">
        <w:t xml:space="preserve"> misbruik tegen te gaan, maar dit had niet het gewenste effect voor de wetgever. </w:t>
      </w:r>
    </w:p>
    <w:p w:rsidR="00024FC1" w:rsidRPr="00FE1FE5" w:rsidRDefault="00024FC1" w:rsidP="00024FC1">
      <w:pPr>
        <w:pStyle w:val="NoSpacing"/>
        <w:spacing w:line="360" w:lineRule="auto"/>
      </w:pPr>
      <w:r w:rsidRPr="00FE1FE5">
        <w:t>Belastingplichtigen gingen met verbonden lichamen schulden aan om zichzelf zogenaamd te financieren. Echter</w:t>
      </w:r>
      <w:r>
        <w:t>,</w:t>
      </w:r>
      <w:r w:rsidRPr="00FE1FE5">
        <w:t xml:space="preserve"> de belastingplichtigen hadden als doel om met deze financieringen fiscaal voordeel te behalen en winsten te verschuiven tussen vennootschappen. Vennootschappen die laag of niet belast waren</w:t>
      </w:r>
      <w:r>
        <w:t>,</w:t>
      </w:r>
      <w:r w:rsidRPr="00FE1FE5">
        <w:t xml:space="preserve"> of verrekenbare verliezen uit het verleden hadden</w:t>
      </w:r>
      <w:r>
        <w:t>,</w:t>
      </w:r>
      <w:r w:rsidRPr="00FE1FE5">
        <w:t xml:space="preserve"> waren de schuldeisers. Winstgevende vennootschappen</w:t>
      </w:r>
      <w:r>
        <w:t xml:space="preserve"> waren</w:t>
      </w:r>
      <w:r w:rsidRPr="00FE1FE5">
        <w:t xml:space="preserve"> de schuldenaren. De winstgevende vennootschappen waren</w:t>
      </w:r>
      <w:r>
        <w:t xml:space="preserve"> de belastingplichtigen, die</w:t>
      </w:r>
      <w:r w:rsidRPr="00FE1FE5">
        <w:t xml:space="preserve"> </w:t>
      </w:r>
      <w:r>
        <w:t xml:space="preserve">tegen </w:t>
      </w:r>
      <w:r w:rsidRPr="00FE1FE5">
        <w:t xml:space="preserve">een hoog belastingtarief </w:t>
      </w:r>
      <w:r>
        <w:t>belast werden</w:t>
      </w:r>
      <w:r w:rsidRPr="00FE1FE5">
        <w:t>. Door middel van de leningen werd</w:t>
      </w:r>
      <w:r>
        <w:t xml:space="preserve"> de Nederlandse winst afgeroomd;</w:t>
      </w:r>
      <w:r w:rsidRPr="00FE1FE5">
        <w:t xml:space="preserve"> er moest immers rente betaald worden voor de schulden en deze zijn op grond van art</w:t>
      </w:r>
      <w:r>
        <w:t>.</w:t>
      </w:r>
      <w:r w:rsidRPr="00FE1FE5">
        <w:t xml:space="preserve"> 3.8 </w:t>
      </w:r>
      <w:r>
        <w:t xml:space="preserve">Wet </w:t>
      </w:r>
      <w:r w:rsidRPr="00FE1FE5">
        <w:t>IB 2</w:t>
      </w:r>
      <w:r>
        <w:t>001 aftrekbaar van het belastba</w:t>
      </w:r>
      <w:r w:rsidRPr="00FE1FE5">
        <w:t>r</w:t>
      </w:r>
      <w:r>
        <w:t>e</w:t>
      </w:r>
      <w:r w:rsidRPr="00FE1FE5">
        <w:t xml:space="preserve"> inkomen. Daarnaast werd de schuld</w:t>
      </w:r>
      <w:r>
        <w:t xml:space="preserve">eiser </w:t>
      </w:r>
      <w:r w:rsidRPr="00FE1FE5">
        <w:t xml:space="preserve">voor een zeer laag tarief of in het geheel niet belast. </w:t>
      </w:r>
    </w:p>
    <w:p w:rsidR="00024FC1" w:rsidRPr="00FE1FE5" w:rsidRDefault="00024FC1" w:rsidP="00024FC1">
      <w:pPr>
        <w:pStyle w:val="NoSpacing"/>
        <w:spacing w:line="360" w:lineRule="auto"/>
      </w:pPr>
      <w:proofErr w:type="gramStart"/>
      <w:r>
        <w:t xml:space="preserve">Art. </w:t>
      </w:r>
      <w:proofErr w:type="gramEnd"/>
      <w:r>
        <w:t>10a Wet VPB 1969</w:t>
      </w:r>
      <w:r w:rsidRPr="00FE1FE5">
        <w:t xml:space="preserve"> begint met de volgende zin: “Bij het bepalen van de winst komen mede niet in aftrek renten – kosten en valutaresultaten daaronder begrepen – …</w:t>
      </w:r>
      <w:proofErr w:type="gramStart"/>
      <w:r w:rsidRPr="00FE1FE5">
        <w:t>” .</w:t>
      </w:r>
      <w:proofErr w:type="gramEnd"/>
      <w:r w:rsidRPr="00FE1FE5">
        <w:t xml:space="preserve"> Er is een discussie ontstaan over de interpretatie van de wet. Valutaverliezen komen volgens de tekst dus niet in aftrek. In de wettekst staat echter niets beschreven over de behandeling van valutawinsten</w:t>
      </w:r>
      <w:r w:rsidRPr="00FE1FE5">
        <w:rPr>
          <w:rFonts w:cs="Times New Roman"/>
          <w:vertAlign w:val="superscript"/>
        </w:rPr>
        <w:footnoteReference w:id="2"/>
      </w:r>
      <w:r w:rsidRPr="00FE1FE5">
        <w:t>. Wat de juiste behandeling is van deze winsten is tot op heden de vraag. Op 9 december 2008 deed Rechtbank Haarlem</w:t>
      </w:r>
      <w:r w:rsidRPr="00FE1FE5">
        <w:rPr>
          <w:rFonts w:cs="Times New Roman"/>
          <w:vertAlign w:val="superscript"/>
        </w:rPr>
        <w:footnoteReference w:id="3"/>
      </w:r>
      <w:r w:rsidRPr="00FE1FE5">
        <w:t xml:space="preserve"> uitspraak in een zaak waarin een belastingplichtige haar valutawinsten op een </w:t>
      </w:r>
      <w:r>
        <w:t>art.</w:t>
      </w:r>
      <w:r w:rsidRPr="00FE1FE5">
        <w:t xml:space="preserve"> 10a VPB lening als onbelast aanmerkte. De </w:t>
      </w:r>
      <w:r>
        <w:t>fiscus</w:t>
      </w:r>
      <w:r w:rsidRPr="00FE1FE5">
        <w:t xml:space="preserve"> </w:t>
      </w:r>
      <w:r>
        <w:t>is</w:t>
      </w:r>
      <w:r w:rsidRPr="00FE1FE5">
        <w:t xml:space="preserve"> echter van mening dat een vrijstelling </w:t>
      </w:r>
      <w:r>
        <w:t>van valutaresultaten in strijd is</w:t>
      </w:r>
      <w:r w:rsidRPr="00FE1FE5">
        <w:t xml:space="preserve"> met doel en strekking van de wet</w:t>
      </w:r>
      <w:r w:rsidRPr="00FE1FE5">
        <w:rPr>
          <w:rFonts w:cs="Times New Roman"/>
          <w:vertAlign w:val="superscript"/>
        </w:rPr>
        <w:footnoteReference w:id="4"/>
      </w:r>
      <w:r w:rsidRPr="00FE1FE5">
        <w:t>. Tevens is er een discussie ontstaan over de onderbouwing van de wet. Valutaresultaten worden volgens de letter van de tekst in het geheel opgenomen in de bepaling. Daaruit kan gec</w:t>
      </w:r>
      <w:r w:rsidRPr="00B739B9">
        <w:t>oncludeerd worden dat de wetgever van mening is dat met valutaresultaten ook misbruik gepleegd kan worden</w:t>
      </w:r>
      <w:r>
        <w:t>.</w:t>
      </w:r>
      <w:r w:rsidRPr="00B739B9">
        <w:t xml:space="preserve"> </w:t>
      </w:r>
      <w:r>
        <w:t xml:space="preserve">Het model dat als onderbouwing hiervoor is gebruikt is de </w:t>
      </w:r>
      <w:r w:rsidRPr="00B739B9">
        <w:t>rentepariteit</w:t>
      </w:r>
      <w:r w:rsidRPr="00B739B9">
        <w:rPr>
          <w:rFonts w:cs="Times New Roman"/>
          <w:vertAlign w:val="superscript"/>
        </w:rPr>
        <w:footnoteReference w:id="5"/>
      </w:r>
      <w:r w:rsidRPr="00B739B9">
        <w:t xml:space="preserve">. Dit model legt een verband tussen de hoogte van de rente en veranderingen in wisselkoers. De toekomstige wisselkoers zou aan de hand van dit model </w:t>
      </w:r>
      <w:r w:rsidRPr="00FE1FE5">
        <w:t>voorspeld kunnen worden. Ik vraag mij echter af of de rentepariteit op deze manier gebruik kan worden. Zijn wisselkoersen voorspelbaar</w:t>
      </w:r>
      <w:r>
        <w:t xml:space="preserve">? Welk gevolg heeft dit voor de behandeling van valutaresultaten binnen </w:t>
      </w:r>
      <w:r>
        <w:lastRenderedPageBreak/>
        <w:t xml:space="preserve">een </w:t>
      </w:r>
      <w:proofErr w:type="spellStart"/>
      <w:r>
        <w:t>anti-misbruikbepaling</w:t>
      </w:r>
      <w:proofErr w:type="spellEnd"/>
      <w:r>
        <w:t xml:space="preserve">. </w:t>
      </w:r>
      <w:r w:rsidRPr="00FE1FE5">
        <w:t>Door de discussies te analyseren en onderzoek te doen naar de werking van de rentepariteit, hoop ik een antwoord te vinden op de volgende onderzoeksvraag:</w:t>
      </w:r>
    </w:p>
    <w:p w:rsidR="00024FC1" w:rsidRPr="00FE1FE5" w:rsidRDefault="00024FC1" w:rsidP="00024FC1">
      <w:pPr>
        <w:pStyle w:val="NoSpacing"/>
        <w:spacing w:line="360" w:lineRule="auto"/>
      </w:pPr>
    </w:p>
    <w:p w:rsidR="00024FC1" w:rsidRPr="00FE1FE5" w:rsidRDefault="00024FC1" w:rsidP="00024FC1">
      <w:pPr>
        <w:pStyle w:val="NoSpacing"/>
        <w:spacing w:line="360" w:lineRule="auto"/>
        <w:rPr>
          <w:i/>
        </w:rPr>
      </w:pPr>
      <w:r w:rsidRPr="00FE1FE5">
        <w:rPr>
          <w:i/>
        </w:rPr>
        <w:t xml:space="preserve">“In hoeverre kunnen valutaresultaten, die gerealiseerd worden bij een lening, worden voorspeld en hoe dient men hiermee om te gaan bij het bepalen van de rente aftrekbeperking van </w:t>
      </w:r>
      <w:r>
        <w:rPr>
          <w:i/>
        </w:rPr>
        <w:t>art.</w:t>
      </w:r>
      <w:r w:rsidRPr="00FE1FE5">
        <w:rPr>
          <w:i/>
        </w:rPr>
        <w:t xml:space="preserve"> 10a </w:t>
      </w:r>
      <w:r>
        <w:rPr>
          <w:i/>
        </w:rPr>
        <w:t xml:space="preserve">Wet </w:t>
      </w:r>
      <w:r w:rsidRPr="00FE1FE5">
        <w:rPr>
          <w:i/>
        </w:rPr>
        <w:t>VPB</w:t>
      </w:r>
      <w:r>
        <w:rPr>
          <w:i/>
        </w:rPr>
        <w:t xml:space="preserve"> 1696</w:t>
      </w:r>
      <w:r w:rsidRPr="00FE1FE5">
        <w:rPr>
          <w:i/>
        </w:rPr>
        <w:t>?”</w:t>
      </w:r>
    </w:p>
    <w:p w:rsidR="00024FC1" w:rsidRPr="00FE1FE5" w:rsidRDefault="00024FC1" w:rsidP="00024FC1">
      <w:pPr>
        <w:pStyle w:val="NoSpacing"/>
        <w:spacing w:line="360" w:lineRule="auto"/>
      </w:pPr>
    </w:p>
    <w:p w:rsidR="00024FC1" w:rsidRPr="008F07C6" w:rsidRDefault="00024FC1" w:rsidP="00024FC1">
      <w:pPr>
        <w:pStyle w:val="NoSpacing"/>
        <w:spacing w:line="360" w:lineRule="auto"/>
        <w:rPr>
          <w:color w:val="FF0000"/>
        </w:rPr>
      </w:pPr>
      <w:proofErr w:type="gramStart"/>
      <w:r w:rsidRPr="00FE1FE5">
        <w:t>Ik wil dus gaan kijken of valutaresultaten in de wet betrokken dienen te worden en zo ja</w:t>
      </w:r>
      <w:r>
        <w:t>,</w:t>
      </w:r>
      <w:r w:rsidRPr="00FE1FE5">
        <w:t xml:space="preserve"> hoe dat kan worden uitgevoerd.</w:t>
      </w:r>
      <w:proofErr w:type="gramEnd"/>
    </w:p>
    <w:p w:rsidR="00024FC1" w:rsidRPr="00FE1FE5" w:rsidRDefault="00024FC1" w:rsidP="00024FC1">
      <w:pPr>
        <w:pStyle w:val="NoSpacing"/>
        <w:spacing w:line="360" w:lineRule="auto"/>
      </w:pPr>
      <w:r w:rsidRPr="00FE1FE5">
        <w:t xml:space="preserve">Om dit te bereiken wil ik mij </w:t>
      </w:r>
      <w:r>
        <w:t>in hoofdstuk 2</w:t>
      </w:r>
      <w:r w:rsidRPr="00FE1FE5">
        <w:t xml:space="preserve"> focussen op de bepaling van </w:t>
      </w:r>
      <w:r>
        <w:t>art.</w:t>
      </w:r>
      <w:r w:rsidRPr="00FE1FE5">
        <w:t xml:space="preserve"> 10a Wet VPB 1969. </w:t>
      </w:r>
      <w:r>
        <w:t>Daar onderzoek ik w</w:t>
      </w:r>
      <w:r w:rsidRPr="00FE1FE5">
        <w:t xml:space="preserve">at deze bepaling in </w:t>
      </w:r>
      <w:r>
        <w:t xml:space="preserve">houdt </w:t>
      </w:r>
      <w:r w:rsidRPr="00FE1FE5">
        <w:t xml:space="preserve">en hoe </w:t>
      </w:r>
      <w:r>
        <w:t>deze</w:t>
      </w:r>
      <w:r w:rsidRPr="00FE1FE5">
        <w:t xml:space="preserve"> tot stand </w:t>
      </w:r>
      <w:r>
        <w:t xml:space="preserve">is </w:t>
      </w:r>
      <w:r w:rsidRPr="00FE1FE5">
        <w:t xml:space="preserve">gekomen. Tevens kijk ik naar doel en strekking van de wet. Dit is nodig om een praktische uitvoerbare oplossing te vinden voor het probleem. </w:t>
      </w:r>
    </w:p>
    <w:p w:rsidR="00024FC1" w:rsidRPr="00FE1FE5" w:rsidRDefault="00024FC1" w:rsidP="00024FC1">
      <w:pPr>
        <w:pStyle w:val="NoSpacing"/>
        <w:spacing w:line="360" w:lineRule="auto"/>
      </w:pPr>
      <w:r w:rsidRPr="00FE1FE5">
        <w:t xml:space="preserve">Vervolgens wil ik mij </w:t>
      </w:r>
      <w:r>
        <w:t xml:space="preserve">in hoofdstuk 3 </w:t>
      </w:r>
      <w:r w:rsidRPr="00FE1FE5">
        <w:t xml:space="preserve">focussen op de huidige discussie over de </w:t>
      </w:r>
      <w:r>
        <w:t xml:space="preserve">toepassing van onderhavig wetsartikel op </w:t>
      </w:r>
      <w:r w:rsidRPr="00FE1FE5">
        <w:t xml:space="preserve">valutaresultaten. Daarbij wil ik kijken naar de motivering van de wetgever om valutaresultaten op te nemen in de bepaling, hoe de wet op dit moment geïnterpreteerd wordt en welke weerstand daartegen geboden wordt. </w:t>
      </w:r>
      <w:r>
        <w:t xml:space="preserve">Het zal blijken dat de wetgever zich hoogst waarschijnlijk heeft gebaseerd op het model van de rentepariteit. </w:t>
      </w:r>
      <w:r w:rsidRPr="00FE1FE5">
        <w:t xml:space="preserve">Dit is van belang om een goede afweging te kunnen maken tussen wat wel en niet belangrijk is, wat de overwegingen zijn (geweest) van de wetgever en wat de mening is van de </w:t>
      </w:r>
      <w:r>
        <w:t>belastingrechters</w:t>
      </w:r>
      <w:r w:rsidRPr="00FE1FE5">
        <w:t xml:space="preserve">. </w:t>
      </w:r>
    </w:p>
    <w:p w:rsidR="00024FC1" w:rsidRPr="00FE1FE5" w:rsidRDefault="00024FC1" w:rsidP="00024FC1">
      <w:pPr>
        <w:pStyle w:val="NoSpacing"/>
        <w:spacing w:line="360" w:lineRule="auto"/>
      </w:pPr>
      <w:r w:rsidRPr="00FE1FE5">
        <w:t xml:space="preserve">In </w:t>
      </w:r>
      <w:r>
        <w:t>Hoofdstuk 4</w:t>
      </w:r>
      <w:r w:rsidRPr="00FE1FE5">
        <w:t xml:space="preserve"> wordt de focus gelegd op de onderbouwing voor het betrekken van valutaresultaten in de aftrekbeperking. Allereerst is het belangrijk om te kijken wat de rentepariteit precies inhoudt. We kunnen dan aan de hand van het model kijken of de </w:t>
      </w:r>
      <w:proofErr w:type="gramStart"/>
      <w:r w:rsidRPr="00FE1FE5">
        <w:t>implementatie</w:t>
      </w:r>
      <w:proofErr w:type="gramEnd"/>
      <w:r w:rsidRPr="00FE1FE5">
        <w:t xml:space="preserve"> van valutaresultaten in de bepaling gerechtvaardigd is. Vervolgens wil ik de betrouwbaarheid van </w:t>
      </w:r>
      <w:r w:rsidRPr="00B739B9">
        <w:t>het model testen aan</w:t>
      </w:r>
      <w:r w:rsidRPr="00FE1FE5">
        <w:t xml:space="preserve"> de hand van bestaande literatuur</w:t>
      </w:r>
      <w:r w:rsidRPr="00167A73">
        <w:t xml:space="preserve">. Als de theorie en deze onderzoeken </w:t>
      </w:r>
      <w:r>
        <w:t>gecombineerd worden</w:t>
      </w:r>
      <w:r w:rsidRPr="00167A73">
        <w:t xml:space="preserve"> </w:t>
      </w:r>
      <w:r>
        <w:t xml:space="preserve">kan worden onderzocht </w:t>
      </w:r>
      <w:r w:rsidRPr="00167A73">
        <w:t xml:space="preserve">wat de </w:t>
      </w:r>
      <w:r>
        <w:t>conflicten en consequenties zijn</w:t>
      </w:r>
      <w:r w:rsidRPr="00167A73">
        <w:t>.</w:t>
      </w:r>
      <w:r w:rsidRPr="00FE1FE5">
        <w:t xml:space="preserve"> Dit kan vervolgens onderbouwd worden aan de hand van het Peseta Arrest. </w:t>
      </w:r>
    </w:p>
    <w:p w:rsidR="00024FC1" w:rsidRDefault="00024FC1" w:rsidP="00024FC1">
      <w:pPr>
        <w:pStyle w:val="NoSpacing"/>
        <w:spacing w:line="360" w:lineRule="auto"/>
      </w:pPr>
      <w:r w:rsidRPr="00FE1FE5">
        <w:t xml:space="preserve">Tot slot zal ik </w:t>
      </w:r>
      <w:r>
        <w:t xml:space="preserve">in hoofdstuk 5 </w:t>
      </w:r>
      <w:r w:rsidRPr="00FE1FE5">
        <w:t xml:space="preserve">een conclusie geven met betrekking tot de hoofdvraag. Hierbij zal ik al het bovenstaande samenvoegen en proberen een praktische en rechtvaardige oplossing te geven voor het gebruik van valutaresultaten in de aftrekbeperking van de bepaling. Hierbij zal ik het doel van de wetgever scherp in het oog houden. </w:t>
      </w:r>
    </w:p>
    <w:p w:rsidR="00024FC1" w:rsidRDefault="00024FC1" w:rsidP="00024FC1">
      <w:pPr>
        <w:pStyle w:val="NoSpacing"/>
        <w:spacing w:line="360" w:lineRule="auto"/>
      </w:pPr>
      <w:r>
        <w:br w:type="page"/>
      </w:r>
    </w:p>
    <w:p w:rsidR="00AF7F7A" w:rsidRPr="00AF7F7A" w:rsidRDefault="009F60CF" w:rsidP="00751820">
      <w:pPr>
        <w:pStyle w:val="NoSpacing"/>
        <w:numPr>
          <w:ilvl w:val="0"/>
          <w:numId w:val="4"/>
        </w:numPr>
        <w:rPr>
          <w:rFonts w:asciiTheme="majorHAnsi" w:hAnsiTheme="majorHAnsi" w:cstheme="majorBidi"/>
          <w:b/>
          <w:bCs/>
          <w:color w:val="365F91" w:themeColor="accent1" w:themeShade="BF"/>
          <w:sz w:val="28"/>
          <w:szCs w:val="28"/>
        </w:rPr>
      </w:pPr>
      <w:r>
        <w:rPr>
          <w:rStyle w:val="Heading1Char"/>
          <w:rFonts w:eastAsia="Calibri"/>
        </w:rPr>
        <w:lastRenderedPageBreak/>
        <w:t xml:space="preserve">Wat vooraf ging aan </w:t>
      </w:r>
      <w:r w:rsidR="00BD13CA">
        <w:rPr>
          <w:rStyle w:val="Heading1Char"/>
          <w:rFonts w:eastAsia="Calibri"/>
        </w:rPr>
        <w:t>art.</w:t>
      </w:r>
      <w:r>
        <w:rPr>
          <w:rStyle w:val="Heading1Char"/>
          <w:rFonts w:eastAsia="Calibri"/>
        </w:rPr>
        <w:t xml:space="preserve"> 10a Wet VPB 1969</w:t>
      </w:r>
      <w:r w:rsidRPr="00697FEA">
        <w:rPr>
          <w:rStyle w:val="Heading1Char"/>
          <w:rFonts w:eastAsia="Calibri"/>
        </w:rPr>
        <w:t>?</w:t>
      </w:r>
      <w:bookmarkEnd w:id="2"/>
    </w:p>
    <w:p w:rsidR="009F60CF" w:rsidRDefault="009F60CF" w:rsidP="00751820">
      <w:pPr>
        <w:pStyle w:val="Heading2"/>
        <w:numPr>
          <w:ilvl w:val="1"/>
          <w:numId w:val="4"/>
        </w:numPr>
      </w:pPr>
      <w:bookmarkStart w:id="3" w:name="_Toc298503280"/>
      <w:bookmarkStart w:id="4" w:name="_Toc299359010"/>
      <w:r>
        <w:t>Eigen vermogen en Vreemd vermogen</w:t>
      </w:r>
      <w:bookmarkEnd w:id="3"/>
      <w:bookmarkEnd w:id="4"/>
    </w:p>
    <w:p w:rsidR="009F60CF" w:rsidRDefault="009F60CF" w:rsidP="009F60CF">
      <w:pPr>
        <w:pStyle w:val="NoSpacing"/>
        <w:spacing w:line="360" w:lineRule="auto"/>
      </w:pPr>
      <w:r>
        <w:t>Voor alle activiteiten binnen een onderneming is een bepaalde vorm van financiering nodig. Grofweg zijn er twee soorten financiering; eigen vermogen en vreemd vermogen. Eigen vermogen is het vermogen dat is ingebr</w:t>
      </w:r>
      <w:r w:rsidR="00264627">
        <w:t xml:space="preserve">acht door de eigenaren bij de </w:t>
      </w:r>
      <w:r>
        <w:t xml:space="preserve">storting </w:t>
      </w:r>
      <w:r w:rsidR="00264627">
        <w:t>op</w:t>
      </w:r>
      <w:r>
        <w:t xml:space="preserve"> aandelen. Vreemd vermogen </w:t>
      </w:r>
      <w:r w:rsidR="0066684C">
        <w:t>bestaat uit</w:t>
      </w:r>
      <w:r>
        <w:t xml:space="preserve"> schulden van de onderneming. Een winstuitkering is de beloning voor het inbrengen van kapitaal, rente de beloning voor het verstrekken van een lening. Natuurlijk kan een onderneming op verschillende manieren vreemd- en eigen vermogen aantrekken, maar voor de eenvoud laten we dat achterwege. </w:t>
      </w:r>
    </w:p>
    <w:p w:rsidR="009F60CF" w:rsidRDefault="009F60CF" w:rsidP="009F60CF">
      <w:pPr>
        <w:pStyle w:val="NoSpacing"/>
        <w:spacing w:line="360" w:lineRule="auto"/>
      </w:pPr>
      <w:r>
        <w:t xml:space="preserve">In Nederland wordt winstbelasting geheven aan de hand van het klassieke stelsel. In dit stelsel wordt </w:t>
      </w:r>
      <w:r w:rsidR="0066684C">
        <w:t>de onderneming onafhankelijk van zijn geldverschaffers belast</w:t>
      </w:r>
      <w:r>
        <w:t>. Het resultaat wordt zowel in de</w:t>
      </w:r>
      <w:r w:rsidR="00024FC1">
        <w:t xml:space="preserve"> vennootschapsbelasting belast op het moment dat het</w:t>
      </w:r>
      <w:r>
        <w:t xml:space="preserve"> gerealiseerd wordt, </w:t>
      </w:r>
      <w:r w:rsidR="00024FC1">
        <w:t>als</w:t>
      </w:r>
      <w:r>
        <w:t xml:space="preserve"> in de inkomstenbelasting, </w:t>
      </w:r>
      <w:r w:rsidR="00024FC1">
        <w:t>dit gebeurd op het moment dat</w:t>
      </w:r>
      <w:r>
        <w:t xml:space="preserve"> er uitgekeerd word</w:t>
      </w:r>
      <w:r w:rsidR="0066684C">
        <w:t>t</w:t>
      </w:r>
      <w:r>
        <w:t xml:space="preserve"> naar de </w:t>
      </w:r>
      <w:r w:rsidR="0066684C">
        <w:t>aandeelhouders</w:t>
      </w:r>
      <w:r>
        <w:t>. Het meest opvallende is het onderscheid dat word gemaakt tussen eigen vermogen en vreemd vermogen. Op</w:t>
      </w:r>
      <w:r w:rsidR="0066684C">
        <w:t xml:space="preserve"> grond van </w:t>
      </w:r>
      <w:r w:rsidR="00BD13CA">
        <w:t>art.</w:t>
      </w:r>
      <w:r w:rsidR="0066684C">
        <w:t xml:space="preserve"> 10 eerste lid onderdeel a</w:t>
      </w:r>
      <w:r>
        <w:t xml:space="preserve"> </w:t>
      </w:r>
      <w:proofErr w:type="spellStart"/>
      <w:r>
        <w:t>jo</w:t>
      </w:r>
      <w:proofErr w:type="spellEnd"/>
      <w:r w:rsidR="0066684C">
        <w:t>.</w:t>
      </w:r>
      <w:r>
        <w:t xml:space="preserve"> </w:t>
      </w:r>
      <w:proofErr w:type="gramStart"/>
      <w:r w:rsidR="00BD13CA">
        <w:t>art</w:t>
      </w:r>
      <w:proofErr w:type="gramEnd"/>
      <w:r w:rsidR="00BD13CA">
        <w:t>.</w:t>
      </w:r>
      <w:r>
        <w:t xml:space="preserve"> 9 Wet VPB 1969 worden winstuitdelingen</w:t>
      </w:r>
      <w:r w:rsidR="0066684C">
        <w:t xml:space="preserve"> aan de aandeelhouders als zodanig</w:t>
      </w:r>
      <w:r>
        <w:t xml:space="preserve"> niet aangemerkt als aftrekbare kosten bij het bepalen van het belastbare resultaat. Voor vreemd vermogen gelden andere regels. Ondanks dat het niet expliciet in de wet is opgenomen zijn de kosten voor het aangaan van een lening wel aftrekbaar van de belastbare winst.</w:t>
      </w:r>
      <w:r>
        <w:rPr>
          <w:rStyle w:val="FootnoteReference"/>
        </w:rPr>
        <w:footnoteReference w:id="6"/>
      </w:r>
      <w:r>
        <w:t xml:space="preserve"> In het kort betekent dit</w:t>
      </w:r>
      <w:r w:rsidR="0066684C">
        <w:t>,</w:t>
      </w:r>
      <w:r>
        <w:t xml:space="preserve"> dat voor beide soorten van financie</w:t>
      </w:r>
      <w:r w:rsidR="0066684C">
        <w:t xml:space="preserve">ring een beloning </w:t>
      </w:r>
      <w:proofErr w:type="gramStart"/>
      <w:r w:rsidR="0066684C">
        <w:t>betaald</w:t>
      </w:r>
      <w:proofErr w:type="gramEnd"/>
      <w:r w:rsidR="0066684C">
        <w:t xml:space="preserve"> wordt</w:t>
      </w:r>
      <w:r>
        <w:t xml:space="preserve">, echter een beloning voor vreemd vermogen verlaagt de heffingsgrondslag, maar een beloning voor eigen vermogen niet. </w:t>
      </w:r>
    </w:p>
    <w:p w:rsidR="00615B43" w:rsidRDefault="009F60CF" w:rsidP="00AF7F7A">
      <w:pPr>
        <w:pStyle w:val="NoSpacing"/>
        <w:spacing w:line="360" w:lineRule="auto"/>
        <w:rPr>
          <w:rStyle w:val="Heading2Char"/>
          <w:rFonts w:eastAsia="Calibri"/>
        </w:rPr>
      </w:pPr>
      <w:r>
        <w:t xml:space="preserve">De verschillende behandeling van eigen vermogen tegenover vreemd vermogen heeft grote gevolgen. Ten eerste zullen ondernemingen zo veel mogelijk winst inhouden en oppotten. Op deze manier stellen zij belastingheffing uit, wat een budgettair voordeel oplevert voor de belastingplichtige, maar een budgettair nadeel oplevert voor de overheid. Een belangrijker gevolg is dat een belastingplichtige liever vreemd vermogen dan eigen vermogen aantrekt. Vreemd vermogen is immers goedkoper. Dit kan echter tot problemen leiden binnen de onderneming. Hoge rentekosten </w:t>
      </w:r>
      <w:proofErr w:type="gramStart"/>
      <w:r>
        <w:t>kunnen</w:t>
      </w:r>
      <w:proofErr w:type="gramEnd"/>
      <w:r>
        <w:t xml:space="preserve"> de solvabiliteit en liquiditeit van de onderneming aantasten, waardoor zij minder stabiel is en eventuele tegenslagen minder goed kan opvangen</w:t>
      </w:r>
      <w:r>
        <w:rPr>
          <w:rStyle w:val="FootnoteReference"/>
        </w:rPr>
        <w:footnoteReference w:id="7"/>
      </w:r>
      <w:r>
        <w:t xml:space="preserve">. Dit is dan ook een van de </w:t>
      </w:r>
      <w:r>
        <w:lastRenderedPageBreak/>
        <w:t>redenen dat verschillende auteurs hebben gepleit voor een gelijke behandeling van al het vermogen</w:t>
      </w:r>
      <w:r>
        <w:rPr>
          <w:rStyle w:val="FootnoteReference"/>
        </w:rPr>
        <w:footnoteReference w:id="8"/>
      </w:r>
      <w:r>
        <w:t xml:space="preserve">. </w:t>
      </w:r>
    </w:p>
    <w:p w:rsidR="009F60CF" w:rsidRDefault="009F60CF" w:rsidP="00751820">
      <w:pPr>
        <w:pStyle w:val="Heading2"/>
        <w:numPr>
          <w:ilvl w:val="1"/>
          <w:numId w:val="4"/>
        </w:numPr>
        <w:rPr>
          <w:color w:val="FF0000"/>
        </w:rPr>
      </w:pPr>
      <w:bookmarkStart w:id="5" w:name="_Toc299359011"/>
      <w:r w:rsidRPr="00AF7F7A">
        <w:rPr>
          <w:rFonts w:eastAsia="Calibri"/>
        </w:rPr>
        <w:t>Fraus legis</w:t>
      </w:r>
      <w:r w:rsidR="00AF7F7A" w:rsidRPr="00AF7F7A">
        <w:rPr>
          <w:rStyle w:val="Heading2Char"/>
          <w:vertAlign w:val="superscript"/>
        </w:rPr>
        <w:footnoteReference w:id="9"/>
      </w:r>
      <w:bookmarkEnd w:id="5"/>
      <w:r w:rsidRPr="00AF7F7A">
        <w:rPr>
          <w:vertAlign w:val="superscript"/>
        </w:rPr>
        <w:t xml:space="preserve"> </w:t>
      </w:r>
    </w:p>
    <w:p w:rsidR="009F60CF" w:rsidRDefault="006E5AE0" w:rsidP="009F60CF">
      <w:pPr>
        <w:pStyle w:val="NoSpacing"/>
        <w:spacing w:line="360" w:lineRule="auto"/>
      </w:pPr>
      <w:r>
        <w:rPr>
          <w:noProof/>
          <w:lang w:val="en-US"/>
        </w:rPr>
        <w:drawing>
          <wp:anchor distT="0" distB="0" distL="114300" distR="114300" simplePos="0" relativeHeight="251666432" behindDoc="1" locked="0" layoutInCell="1" allowOverlap="1">
            <wp:simplePos x="0" y="0"/>
            <wp:positionH relativeFrom="column">
              <wp:posOffset>-33020</wp:posOffset>
            </wp:positionH>
            <wp:positionV relativeFrom="paragraph">
              <wp:posOffset>1544320</wp:posOffset>
            </wp:positionV>
            <wp:extent cx="2778760" cy="1676400"/>
            <wp:effectExtent l="19050" t="0" r="2540" b="0"/>
            <wp:wrapTight wrapText="bothSides">
              <wp:wrapPolygon edited="0">
                <wp:start x="-148" y="0"/>
                <wp:lineTo x="-148" y="21355"/>
                <wp:lineTo x="21620" y="21355"/>
                <wp:lineTo x="21620" y="0"/>
                <wp:lineTo x="-148" y="0"/>
              </wp:wrapPolygon>
            </wp:wrapTight>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2778760" cy="1676400"/>
                    </a:xfrm>
                    <a:prstGeom prst="rect">
                      <a:avLst/>
                    </a:prstGeom>
                    <a:noFill/>
                    <a:ln w="9525">
                      <a:noFill/>
                      <a:miter lim="800000"/>
                      <a:headEnd/>
                      <a:tailEnd/>
                    </a:ln>
                  </pic:spPr>
                </pic:pic>
              </a:graphicData>
            </a:graphic>
          </wp:anchor>
        </w:drawing>
      </w:r>
      <w:r w:rsidR="009F60CF">
        <w:t>Buiten het feit om dat de voorkeur voor vreemd vermogen ongezonde financieringsstructuren tot gevolg kan hebben</w:t>
      </w:r>
      <w:r w:rsidR="00AF7F7A">
        <w:t>,</w:t>
      </w:r>
      <w:r w:rsidR="009F60CF">
        <w:t xml:space="preserve"> heeft het ook tot gevolg dat belastingplichtigen op zoek gaan naar de fiscaal goedko</w:t>
      </w:r>
      <w:r w:rsidR="00615B43">
        <w:t xml:space="preserve">opste vorm van vreemd vermogen. </w:t>
      </w:r>
      <w:r w:rsidR="005539CC">
        <w:t>Dit is</w:t>
      </w:r>
      <w:r w:rsidR="00615B43">
        <w:t xml:space="preserve"> een heel normale fina</w:t>
      </w:r>
      <w:r w:rsidR="00024FC1">
        <w:t>ncieringsbeslissing</w:t>
      </w:r>
      <w:r w:rsidR="005539CC">
        <w:t>, maar</w:t>
      </w:r>
      <w:r w:rsidR="00615B43">
        <w:t xml:space="preserve"> in sommi</w:t>
      </w:r>
      <w:r w:rsidR="005539CC">
        <w:t>g</w:t>
      </w:r>
      <w:r w:rsidR="00615B43">
        <w:t>e gevallen leidt</w:t>
      </w:r>
      <w:r w:rsidR="005539CC">
        <w:t xml:space="preserve"> dit</w:t>
      </w:r>
      <w:r w:rsidR="00615B43">
        <w:t xml:space="preserve"> tot constructies waarbij vreemd vermogen word gevormd</w:t>
      </w:r>
      <w:r w:rsidR="005539CC">
        <w:t>,</w:t>
      </w:r>
      <w:r w:rsidR="00615B43">
        <w:t xml:space="preserve"> die de grenzen v</w:t>
      </w:r>
      <w:r w:rsidR="00024FC1">
        <w:t>an het kunstmatige overschrijd</w:t>
      </w:r>
      <w:r w:rsidR="00F5193C">
        <w:t>en</w:t>
      </w:r>
      <w:r w:rsidR="00615B43">
        <w:t xml:space="preserve">. In dergelijke gevallen is er sprake van </w:t>
      </w:r>
      <w:r w:rsidR="009F60CF">
        <w:t xml:space="preserve">misbruik van </w:t>
      </w:r>
      <w:r w:rsidR="00FE3A5F">
        <w:t xml:space="preserve">recht </w:t>
      </w:r>
      <w:r w:rsidR="009F60CF">
        <w:t>en uitholling van de heffingsgrondslag, ook wel grondslagerosie of winstdrainage genoemd. Een voorbeeld zal duidelijk maken wat er met grondslagerosie bedoeld word</w:t>
      </w:r>
      <w:r w:rsidR="009F60CF" w:rsidRPr="004A5962">
        <w:t>t</w:t>
      </w:r>
      <w:r w:rsidR="005C0F0E" w:rsidRPr="004A5962">
        <w:t xml:space="preserve"> (Figuur</w:t>
      </w:r>
      <w:r w:rsidR="004A5962" w:rsidRPr="004A5962">
        <w:t xml:space="preserve"> 1)</w:t>
      </w:r>
      <w:r w:rsidR="005C0F0E" w:rsidRPr="004A5962">
        <w:rPr>
          <w:rStyle w:val="FootnoteReference"/>
        </w:rPr>
        <w:footnoteReference w:id="10"/>
      </w:r>
      <w:r w:rsidR="009F60CF" w:rsidRPr="005C0F0E">
        <w:t>.</w:t>
      </w:r>
      <w:r w:rsidR="00184E91">
        <w:t xml:space="preserve"> </w:t>
      </w:r>
      <w:r w:rsidR="009F60CF">
        <w:t>Een</w:t>
      </w:r>
      <w:r w:rsidR="00615B43">
        <w:t xml:space="preserve"> belastingplichtige, een</w:t>
      </w:r>
      <w:r w:rsidR="009F60CF">
        <w:t xml:space="preserve"> moedermaatschappij in Nederland</w:t>
      </w:r>
      <w:r w:rsidR="005C0F0E">
        <w:t xml:space="preserve">, leent een bedrag van </w:t>
      </w:r>
      <w:r w:rsidR="005539CC">
        <w:t xml:space="preserve">EUR </w:t>
      </w:r>
      <w:r w:rsidR="00615B43">
        <w:t>100.000</w:t>
      </w:r>
      <w:r w:rsidR="005C0F0E">
        <w:t xml:space="preserve"> van een </w:t>
      </w:r>
      <w:r w:rsidR="000932C8">
        <w:t>dochtervennootschap</w:t>
      </w:r>
      <w:r w:rsidR="005C0F0E">
        <w:t xml:space="preserve">. </w:t>
      </w:r>
      <w:r w:rsidR="000932C8">
        <w:t xml:space="preserve">Deze dochtervennootschap </w:t>
      </w:r>
      <w:r w:rsidR="005C0F0E">
        <w:t xml:space="preserve">is gevestigd in een belastingparadijs. Met de lening koopt de moedermaatschappij het volledige belang in C BV. </w:t>
      </w:r>
      <w:r w:rsidR="009F60CF">
        <w:t xml:space="preserve">De </w:t>
      </w:r>
      <w:r w:rsidR="00615B43">
        <w:t>belastingplichtige</w:t>
      </w:r>
      <w:r w:rsidR="009F60CF">
        <w:t xml:space="preserve"> betaalt jaarlij</w:t>
      </w:r>
      <w:r w:rsidR="005539CC">
        <w:t xml:space="preserve">ks EUR </w:t>
      </w:r>
      <w:r w:rsidR="005C0F0E">
        <w:t>8.000 euro aan rente aan het verbonden lichaam</w:t>
      </w:r>
      <w:r w:rsidR="002566FC">
        <w:t>, w</w:t>
      </w:r>
      <w:r w:rsidR="009F60CF">
        <w:t xml:space="preserve">elke kosten zijn van vreemd vermogen, dus afgetrokken worden van de belastbare winst tegen een </w:t>
      </w:r>
      <w:r w:rsidR="002566FC">
        <w:t xml:space="preserve">effectief </w:t>
      </w:r>
      <w:r w:rsidR="009F60CF">
        <w:t>percentage van bijna 44 procent</w:t>
      </w:r>
      <w:r w:rsidR="009F60CF">
        <w:rPr>
          <w:rStyle w:val="FootnoteReference"/>
        </w:rPr>
        <w:footnoteReference w:id="11"/>
      </w:r>
      <w:r w:rsidR="009F60CF">
        <w:t>.</w:t>
      </w:r>
      <w:r w:rsidR="005539CC">
        <w:t xml:space="preserve"> Tegenover deze aftrekpost staan</w:t>
      </w:r>
      <w:r w:rsidR="009F60CF">
        <w:t xml:space="preserve"> de belastbare rente opbrengsten bij de dochter</w:t>
      </w:r>
      <w:r w:rsidR="002566FC">
        <w:t>vennootschap</w:t>
      </w:r>
      <w:r w:rsidR="009F60CF">
        <w:t xml:space="preserve">. </w:t>
      </w:r>
      <w:r w:rsidR="002566FC">
        <w:t>Echter, in dit be</w:t>
      </w:r>
      <w:r w:rsidR="005539CC">
        <w:t>lastingparadijs</w:t>
      </w:r>
      <w:r w:rsidR="002566FC">
        <w:t xml:space="preserve"> </w:t>
      </w:r>
      <w:r w:rsidR="009F60CF">
        <w:t xml:space="preserve">is de effectief geheven belasting over deze winst </w:t>
      </w:r>
      <w:r w:rsidR="005C0F0E">
        <w:t>laag</w:t>
      </w:r>
      <w:r w:rsidR="009F60CF">
        <w:t xml:space="preserve">. </w:t>
      </w:r>
      <w:r w:rsidR="000932C8">
        <w:t xml:space="preserve">Door het aangaan van een lening </w:t>
      </w:r>
      <w:r w:rsidR="009F60CF">
        <w:t xml:space="preserve">binnen het concern wordt eigen vermogen dus omgezet in vreemd vermogen, waardoor er per saldo een </w:t>
      </w:r>
      <w:r w:rsidR="005539CC">
        <w:t>positief resultaat</w:t>
      </w:r>
      <w:r w:rsidR="009F60CF">
        <w:t xml:space="preserve"> wordt </w:t>
      </w:r>
      <w:r w:rsidR="00F5193C">
        <w:t>gerealiseerd</w:t>
      </w:r>
      <w:r w:rsidR="009F60CF">
        <w:t xml:space="preserve">. In dit voorbeeld is de dochter gevestigd </w:t>
      </w:r>
      <w:r w:rsidR="002566FC">
        <w:t>in</w:t>
      </w:r>
      <w:r w:rsidR="009F60CF">
        <w:t xml:space="preserve"> een zogenaamd </w:t>
      </w:r>
      <w:r w:rsidR="005C0F0E">
        <w:t>belastingparadijs</w:t>
      </w:r>
      <w:r w:rsidR="002566FC">
        <w:t>.</w:t>
      </w:r>
      <w:r w:rsidR="009F60CF">
        <w:t xml:space="preserve"> Ook als de dochter vrijgesteld presteert of verrekenbare verliezen heeft</w:t>
      </w:r>
      <w:r w:rsidR="00F5193C">
        <w:t>,</w:t>
      </w:r>
      <w:r w:rsidR="009F60CF">
        <w:t xml:space="preserve"> waar zij geen winst uit onderneming tegenover kan zetten, zal zij effectief geen vennootschapsbelasting betalen over de €8000 aan renteopbrengsten. Het mag duidelijk zijn dat dit een </w:t>
      </w:r>
      <w:r w:rsidR="002566FC">
        <w:t>gekunstelde</w:t>
      </w:r>
      <w:r w:rsidR="009F60CF">
        <w:t xml:space="preserve"> lening is, puur gericht op het behalen van belastingvoordelen. </w:t>
      </w:r>
    </w:p>
    <w:p w:rsidR="00FE3A5F" w:rsidRDefault="00FE3A5F" w:rsidP="009F60CF">
      <w:pPr>
        <w:pStyle w:val="NoSpacing"/>
        <w:spacing w:line="360" w:lineRule="auto"/>
      </w:pPr>
    </w:p>
    <w:p w:rsidR="009F60CF" w:rsidRDefault="009F60CF" w:rsidP="009F60CF">
      <w:pPr>
        <w:pStyle w:val="NoSpacing"/>
        <w:spacing w:line="360" w:lineRule="auto"/>
      </w:pPr>
      <w:r>
        <w:lastRenderedPageBreak/>
        <w:t xml:space="preserve">Vele jurisprudentie heeft in de loop van de jaren de revue gepasseerd, omdat het nooit de intentie van de wetgever is geweest </w:t>
      </w:r>
      <w:r w:rsidR="000932C8" w:rsidRPr="000932C8">
        <w:t>een ongebreidelde en nagenoeg willekeurige uith</w:t>
      </w:r>
      <w:r w:rsidR="000932C8">
        <w:t>olling van de heffingsgrondslag toe te staan</w:t>
      </w:r>
      <w:r>
        <w:t>. De rentekosten in de zogenaamde kasrondjes zijn geen bedrijfskosten, ze worden immers niet uitsluitend gemaakt om de onderneming te financieren en voort te zetten, maar met het oog op het behalen van fiscaal voordeel. Er is veel jurisprudentie op het gebied van de winstdrainage. Het eerste belangrijk</w:t>
      </w:r>
      <w:r w:rsidR="000932C8">
        <w:t>e</w:t>
      </w:r>
      <w:r>
        <w:t xml:space="preserve"> arrest binnen de </w:t>
      </w:r>
      <w:proofErr w:type="spellStart"/>
      <w:r>
        <w:t>anti-winstdrainage</w:t>
      </w:r>
      <w:proofErr w:type="spellEnd"/>
      <w:r>
        <w:t xml:space="preserve"> jurisprudentie was BNB 1989/217</w:t>
      </w:r>
      <w:r>
        <w:rPr>
          <w:rStyle w:val="FootnoteReference"/>
        </w:rPr>
        <w:footnoteReference w:id="12"/>
      </w:r>
      <w:r>
        <w:t xml:space="preserve">. In dit arrest was er sprake van een overname van een vennootschap door een andere vennootschap binnen het concern. Moeder (A NV) bezit al het aandelenkapitaal in zowel dochter B BV als in dochter C BV. Met een lening verstrekt door A NV kocht B BV het volledige belang in C BV. A </w:t>
      </w:r>
      <w:r w:rsidR="000932C8">
        <w:t xml:space="preserve">NV </w:t>
      </w:r>
      <w:r>
        <w:t>had na de transactie een</w:t>
      </w:r>
      <w:r w:rsidR="00D97ED9">
        <w:t xml:space="preserve"> nog</w:t>
      </w:r>
      <w:r>
        <w:t xml:space="preserve"> even groot belang in zowel B BV als C BV. Daarbij was er niets veranderd in de vermogenspositie van C BV. Wel was het </w:t>
      </w:r>
      <w:r w:rsidR="000932C8">
        <w:t xml:space="preserve">directe </w:t>
      </w:r>
      <w:r>
        <w:t xml:space="preserve">belang in C BV omgezet in een </w:t>
      </w:r>
      <w:r w:rsidR="000932C8">
        <w:t xml:space="preserve">indirect </w:t>
      </w:r>
      <w:r>
        <w:t>belang in C BV</w:t>
      </w:r>
      <w:r w:rsidR="00FE3A5F">
        <w:t>,</w:t>
      </w:r>
      <w:r>
        <w:t xml:space="preserve"> gefinancierd met vreemd vermogen. Het faciliteren van deze constructie</w:t>
      </w:r>
      <w:r w:rsidR="00D97ED9">
        <w:t>, die er slecht op gericht is fiscaal voordeel te behalen,</w:t>
      </w:r>
      <w:r>
        <w:t xml:space="preserve"> met een renteaftrek is in strijd met doel en strekking van de wet, besliste de Hoge Raad</w:t>
      </w:r>
      <w:r w:rsidR="00D97ED9">
        <w:rPr>
          <w:rStyle w:val="FootnoteReference"/>
        </w:rPr>
        <w:footnoteReference w:id="13"/>
      </w:r>
      <w:r w:rsidR="00D97ED9">
        <w:t>.</w:t>
      </w:r>
      <w:r>
        <w:t xml:space="preserve"> </w:t>
      </w:r>
      <w:r w:rsidRPr="002442FD">
        <w:t>Aanvaarding</w:t>
      </w:r>
      <w:r>
        <w:t xml:space="preserve"> </w:t>
      </w:r>
      <w:r w:rsidRPr="002442FD">
        <w:t>zou</w:t>
      </w:r>
      <w:r>
        <w:t xml:space="preserve"> </w:t>
      </w:r>
      <w:r w:rsidRPr="002442FD">
        <w:t>leiden</w:t>
      </w:r>
      <w:r>
        <w:t xml:space="preserve"> </w:t>
      </w:r>
      <w:r w:rsidRPr="002442FD">
        <w:t>tot</w:t>
      </w:r>
      <w:r>
        <w:t xml:space="preserve"> </w:t>
      </w:r>
      <w:r w:rsidRPr="002442FD">
        <w:t>een</w:t>
      </w:r>
      <w:r>
        <w:t xml:space="preserve"> </w:t>
      </w:r>
      <w:r w:rsidRPr="002442FD">
        <w:t>willekeurige</w:t>
      </w:r>
      <w:r>
        <w:t xml:space="preserve"> </w:t>
      </w:r>
      <w:r w:rsidRPr="002442FD">
        <w:t>en</w:t>
      </w:r>
      <w:r>
        <w:t xml:space="preserve"> </w:t>
      </w:r>
      <w:r w:rsidRPr="002442FD">
        <w:t>voortdurende</w:t>
      </w:r>
      <w:r>
        <w:t xml:space="preserve"> </w:t>
      </w:r>
      <w:r w:rsidRPr="002442FD">
        <w:t>verijdeling</w:t>
      </w:r>
      <w:r>
        <w:t xml:space="preserve"> </w:t>
      </w:r>
      <w:r w:rsidRPr="002442FD">
        <w:t>van</w:t>
      </w:r>
      <w:r>
        <w:t xml:space="preserve"> </w:t>
      </w:r>
      <w:r w:rsidRPr="002442FD">
        <w:t>de</w:t>
      </w:r>
      <w:r>
        <w:t xml:space="preserve"> </w:t>
      </w:r>
      <w:r w:rsidRPr="002442FD">
        <w:t>belas</w:t>
      </w:r>
      <w:r>
        <w:t>ti</w:t>
      </w:r>
      <w:r w:rsidRPr="002442FD">
        <w:t>ngheffing</w:t>
      </w:r>
      <w:r>
        <w:t>. Hier ontstond het ‘Normvereiste’. Dit is een objectief vereiste, waarbij men</w:t>
      </w:r>
      <w:r w:rsidR="00FE3A5F">
        <w:t xml:space="preserve"> beoordeeld of een handeling in </w:t>
      </w:r>
      <w:r>
        <w:t>strijd is met doel en strekking van de wet</w:t>
      </w:r>
      <w:r>
        <w:rPr>
          <w:rStyle w:val="FootnoteReference"/>
        </w:rPr>
        <w:footnoteReference w:id="14"/>
      </w:r>
      <w:r>
        <w:t xml:space="preserve">. </w:t>
      </w:r>
    </w:p>
    <w:p w:rsidR="009F60CF" w:rsidRDefault="009F60CF" w:rsidP="009F60CF">
      <w:pPr>
        <w:pStyle w:val="NoSpacing"/>
        <w:spacing w:line="360" w:lineRule="auto"/>
      </w:pPr>
      <w:r>
        <w:t xml:space="preserve">Later </w:t>
      </w:r>
      <w:r w:rsidR="00D97ED9">
        <w:t xml:space="preserve">is </w:t>
      </w:r>
      <w:r>
        <w:t>er in twee arresten nog een aantal belangrijke beslissingen gedaan. In BNB 1993/196</w:t>
      </w:r>
      <w:r>
        <w:rPr>
          <w:rStyle w:val="FootnoteReference"/>
        </w:rPr>
        <w:footnoteReference w:id="15"/>
      </w:r>
      <w:r>
        <w:t xml:space="preserve"> en BNB 1993/194</w:t>
      </w:r>
      <w:r>
        <w:rPr>
          <w:rStyle w:val="FootnoteReference"/>
        </w:rPr>
        <w:footnoteReference w:id="16"/>
      </w:r>
      <w:r>
        <w:t xml:space="preserve"> besliste de Hoge Raad dat als er sprake is</w:t>
      </w:r>
      <w:r w:rsidR="000932C8">
        <w:t xml:space="preserve"> van een compenserende heffing bij de schuldeiser, geen sprake kan zijn van strijd met doel en strekking van de wet. </w:t>
      </w:r>
      <w:r>
        <w:t>Wanneer er een lening wordt ontvangen van een verbonden lichaam door een belastingplichtige in Nederland, dan moet de schuldeiser voldoende belast worden over de renteopbrengsten om aan het vereiste te voldoen. Als de schuldeiser namelijk met een redelijk bedrag belast word</w:t>
      </w:r>
      <w:r w:rsidR="000932C8">
        <w:t>t</w:t>
      </w:r>
      <w:r>
        <w:t>, valt het voordeel van het kasrondje weg. Het voordeel was immers</w:t>
      </w:r>
      <w:r w:rsidR="00FE3A5F">
        <w:t>,</w:t>
      </w:r>
      <w:r>
        <w:t xml:space="preserve"> da</w:t>
      </w:r>
      <w:r w:rsidR="000932C8">
        <w:t>t</w:t>
      </w:r>
      <w:r>
        <w:t xml:space="preserve"> er bij de belastingplichtige een aftrekpost ontstond, die bij de schuldeiser (bijna) niet belast is. Per saldo ontstaat er een </w:t>
      </w:r>
      <w:r w:rsidR="000932C8">
        <w:t>vermindering van de belastingafdracht.</w:t>
      </w:r>
      <w:r>
        <w:t xml:space="preserve"> Een compenserende heffing houdt in dat er niet slechts sprake moet zijn van een voldoende hoog tarief, maar dat de heffingsgrondslag ook breed genoeg moet zijn. Hiernaast werd bepaald dat als de schuldeiser compensabele verliezen </w:t>
      </w:r>
      <w:r w:rsidR="00FE3A5F">
        <w:t>bezit</w:t>
      </w:r>
      <w:r>
        <w:t xml:space="preserve"> er </w:t>
      </w:r>
      <w:r w:rsidR="00FE3A5F">
        <w:t>alsnog</w:t>
      </w:r>
      <w:r>
        <w:t xml:space="preserve"> sprake kan zijn van een compenserende heffing. Als de renteopbrengsten worden afgezet tegen de compensabele verliezen, worden er geen liquiditeiten afgedragen aan de belastingdienst, maar worden de winsten wel tot de belastbare winst</w:t>
      </w:r>
      <w:r w:rsidR="000932C8">
        <w:t xml:space="preserve"> </w:t>
      </w:r>
      <w:r>
        <w:lastRenderedPageBreak/>
        <w:t>gerekend</w:t>
      </w:r>
      <w:r>
        <w:rPr>
          <w:rStyle w:val="FootnoteReference"/>
        </w:rPr>
        <w:footnoteReference w:id="17"/>
      </w:r>
      <w:r>
        <w:t xml:space="preserve">. Compensabele verliezen kunnen gezien worden als een bedrag dat de belastingplichtige nog van de belastingdienst tegoed heeft. Een afname hiervan is effectief een betaling. </w:t>
      </w:r>
    </w:p>
    <w:p w:rsidR="00FE3A5F" w:rsidRDefault="009F60CF" w:rsidP="009F60CF">
      <w:pPr>
        <w:pStyle w:val="NoSpacing"/>
        <w:spacing w:line="360" w:lineRule="auto"/>
      </w:pPr>
      <w:r>
        <w:t>Nog een belangrijk arrest is BNB 1993/197</w:t>
      </w:r>
      <w:r>
        <w:rPr>
          <w:rStyle w:val="FootnoteReference"/>
        </w:rPr>
        <w:footnoteReference w:id="18"/>
      </w:r>
      <w:r>
        <w:t xml:space="preserve">. Dit arrest </w:t>
      </w:r>
      <w:r w:rsidR="000932C8">
        <w:t>werd gewezen o</w:t>
      </w:r>
      <w:r>
        <w:t xml:space="preserve">p dezelfde dag als voorgaande twee arresten. In voorgaande arresten was bepaald dat verrekening met een compensabel verlies niets afdeed aan de compenserende heffing. Als de opbrengsten voldoende tot het belastbare resultaat van de onderneming worden gerekend kan er sprake zijn van een compenserende heffing. </w:t>
      </w:r>
      <w:r w:rsidR="00D97ED9">
        <w:t xml:space="preserve">BNB 1993/197 ziet er </w:t>
      </w:r>
      <w:r>
        <w:t>op toe</w:t>
      </w:r>
      <w:r w:rsidR="00FE3A5F">
        <w:t>,</w:t>
      </w:r>
      <w:r>
        <w:t xml:space="preserve"> dat </w:t>
      </w:r>
      <w:r w:rsidR="00FE3A5F">
        <w:t>er bij de</w:t>
      </w:r>
      <w:r>
        <w:t xml:space="preserve"> schuldeiser </w:t>
      </w:r>
      <w:r w:rsidR="00FE3A5F">
        <w:t xml:space="preserve">geen sprake kan zijn van een </w:t>
      </w:r>
      <w:r>
        <w:t>compenserende heffing</w:t>
      </w:r>
      <w:r w:rsidR="00FE3A5F">
        <w:t xml:space="preserve"> in het geval dat</w:t>
      </w:r>
      <w:r>
        <w:t xml:space="preserve"> het resultaat uit de lening word</w:t>
      </w:r>
      <w:r w:rsidR="00FE3A5F">
        <w:t>t</w:t>
      </w:r>
      <w:r>
        <w:t xml:space="preserve"> verrekend met aangekochte verliezen. Het</w:t>
      </w:r>
      <w:r w:rsidR="00D97ED9">
        <w:t xml:space="preserve"> is namelijk</w:t>
      </w:r>
      <w:r>
        <w:t xml:space="preserve"> heel gemakkelijk om een verliesgevende vennootschap met verrekenbare verliezen te kopen om daar de renteopbrengsten tegen af te zetten. Het Hof meent dat het toestaan van verreke</w:t>
      </w:r>
      <w:r w:rsidR="00D97ED9">
        <w:t>ning met niet-eigen verliezen in</w:t>
      </w:r>
      <w:r>
        <w:t xml:space="preserve"> strijd is met doel en strekking van de wet</w:t>
      </w:r>
      <w:r>
        <w:rPr>
          <w:rStyle w:val="FootnoteReference"/>
        </w:rPr>
        <w:footnoteReference w:id="19"/>
      </w:r>
      <w:r>
        <w:t xml:space="preserve">. Op 10 maart 1993 werd dus bepaald dat voor de compenserende heffing sprake moet zijn van een naar Nederlandse maatstaven gemeten redelijke heffing. Resultaten dienen dus voldoende tot het belastbaar inkomen gerekend te worden bij de schuldenaar. Eventuele verrekenbare verliezen die in het eigen bedrijf zijn gerealiseerd doen niets af aan de eventuele compenserende heffing. </w:t>
      </w:r>
    </w:p>
    <w:p w:rsidR="009F60CF" w:rsidRDefault="00FE3A5F" w:rsidP="009F60CF">
      <w:pPr>
        <w:pStyle w:val="NoSpacing"/>
        <w:spacing w:line="360" w:lineRule="auto"/>
      </w:pPr>
      <w:r>
        <w:t>Vervolgens werd d</w:t>
      </w:r>
      <w:r w:rsidR="009F60CF">
        <w:t xml:space="preserve">e hoogte van het tarief binnen de compensabele heffing </w:t>
      </w:r>
      <w:r w:rsidR="009247C5">
        <w:t xml:space="preserve">nader </w:t>
      </w:r>
      <w:r w:rsidR="009F60CF">
        <w:t>bepaald in zowel V</w:t>
      </w:r>
      <w:r w:rsidR="009F60CF" w:rsidRPr="002442FD">
        <w:t>‐N</w:t>
      </w:r>
      <w:r w:rsidR="009F60CF">
        <w:t xml:space="preserve"> </w:t>
      </w:r>
      <w:r w:rsidR="009F60CF" w:rsidRPr="002442FD">
        <w:t>2002/23.17</w:t>
      </w:r>
      <w:r w:rsidR="009F60CF">
        <w:rPr>
          <w:rStyle w:val="FootnoteReference"/>
        </w:rPr>
        <w:footnoteReference w:id="20"/>
      </w:r>
      <w:r w:rsidR="009F60CF">
        <w:t xml:space="preserve"> </w:t>
      </w:r>
      <w:proofErr w:type="gramStart"/>
      <w:r w:rsidR="009F60CF">
        <w:t>als</w:t>
      </w:r>
      <w:proofErr w:type="gramEnd"/>
      <w:r w:rsidR="009F60CF">
        <w:t xml:space="preserve"> in </w:t>
      </w:r>
      <w:r w:rsidR="009F60CF" w:rsidRPr="002442FD">
        <w:t>BNB</w:t>
      </w:r>
      <w:r w:rsidR="009F60CF">
        <w:t xml:space="preserve"> </w:t>
      </w:r>
      <w:r w:rsidR="009F60CF" w:rsidRPr="002442FD">
        <w:t>2002/118</w:t>
      </w:r>
      <w:r w:rsidR="009F60CF">
        <w:rPr>
          <w:rStyle w:val="FootnoteReference"/>
        </w:rPr>
        <w:footnoteReference w:id="21"/>
      </w:r>
      <w:r w:rsidR="009F60CF">
        <w:t xml:space="preserve">. In deze arresten werd bepaald dat 15% respectievelijk 10% als tarief binnen de compensabele heffing voldoet. </w:t>
      </w:r>
    </w:p>
    <w:p w:rsidR="00D97ED9" w:rsidRDefault="00FE3A5F" w:rsidP="009F60CF">
      <w:pPr>
        <w:pStyle w:val="NoSpacing"/>
        <w:spacing w:line="360" w:lineRule="auto"/>
      </w:pPr>
      <w:r>
        <w:t>I</w:t>
      </w:r>
      <w:r w:rsidR="009247C5">
        <w:t xml:space="preserve">n het </w:t>
      </w:r>
      <w:proofErr w:type="spellStart"/>
      <w:r w:rsidR="009247C5">
        <w:t>BOVAG-Arrest</w:t>
      </w:r>
      <w:proofErr w:type="spellEnd"/>
      <w:r w:rsidR="009247C5">
        <w:t xml:space="preserve"> (</w:t>
      </w:r>
      <w:r w:rsidR="009F60CF">
        <w:t>BNB 1996/4</w:t>
      </w:r>
      <w:r w:rsidR="009F60CF">
        <w:rPr>
          <w:rStyle w:val="FootnoteReference"/>
        </w:rPr>
        <w:footnoteReference w:id="22"/>
      </w:r>
      <w:r w:rsidR="009F60CF">
        <w:t xml:space="preserve">) </w:t>
      </w:r>
      <w:r>
        <w:t xml:space="preserve">werd </w:t>
      </w:r>
      <w:r w:rsidR="009F60CF">
        <w:t>beslist dat er, hoewel er sprake was van een zakelijke herstruc</w:t>
      </w:r>
      <w:r w:rsidR="009247C5">
        <w:t xml:space="preserve">turering binnen het concern, </w:t>
      </w:r>
      <w:r w:rsidR="009F60CF">
        <w:t xml:space="preserve">toch </w:t>
      </w:r>
      <w:r w:rsidR="008C2AF9">
        <w:t>a</w:t>
      </w:r>
      <w:r w:rsidR="009F60CF">
        <w:t>fgezien</w:t>
      </w:r>
      <w:r w:rsidR="008C2AF9">
        <w:t xml:space="preserve"> wordt</w:t>
      </w:r>
      <w:r w:rsidR="009F60CF">
        <w:t xml:space="preserve"> van het toestaan van renteaftrek. </w:t>
      </w:r>
      <w:r w:rsidR="009247C5">
        <w:t>De</w:t>
      </w:r>
      <w:r w:rsidR="009F60CF">
        <w:t xml:space="preserve"> herstructurering</w:t>
      </w:r>
      <w:r w:rsidR="009247C5">
        <w:t xml:space="preserve"> in deze zaak was</w:t>
      </w:r>
      <w:r w:rsidR="009F60CF">
        <w:t xml:space="preserve"> in principe een zakelijke handeling</w:t>
      </w:r>
      <w:r w:rsidR="006E1B1A">
        <w:t xml:space="preserve"> e</w:t>
      </w:r>
      <w:r w:rsidR="009F60CF">
        <w:t>n zal niet a</w:t>
      </w:r>
      <w:r w:rsidR="009247C5">
        <w:t>ls misbruik van de wet behandeld</w:t>
      </w:r>
      <w:r w:rsidR="009F60CF">
        <w:t xml:space="preserve"> hoeven te worden. Echter</w:t>
      </w:r>
      <w:r w:rsidR="009247C5">
        <w:t>,</w:t>
      </w:r>
      <w:r w:rsidR="009F60CF">
        <w:t xml:space="preserve"> ondanks de</w:t>
      </w:r>
      <w:r w:rsidR="009247C5">
        <w:t>ze</w:t>
      </w:r>
      <w:r w:rsidR="009F60CF">
        <w:t xml:space="preserve"> zakelijkheid </w:t>
      </w:r>
      <w:r w:rsidR="009247C5">
        <w:t>werden binnen de herstructurering handelingen verricht</w:t>
      </w:r>
      <w:r w:rsidR="006E1B1A">
        <w:t>,</w:t>
      </w:r>
      <w:r w:rsidR="009247C5">
        <w:t xml:space="preserve"> die aan dit doel niet bijdroegen en die zouden leiden tot </w:t>
      </w:r>
      <w:r w:rsidR="009F60CF">
        <w:t>langdurig</w:t>
      </w:r>
      <w:r w:rsidR="009247C5">
        <w:t>e</w:t>
      </w:r>
      <w:r w:rsidR="009F60CF">
        <w:t xml:space="preserve"> verijdeling van de belasting. Dit is het belangrijkste arrest geweest in de verschillendewegenleer. Op het moment dat een belastingplichtige haar doel op verschillende manieren kan bereiken mag zij</w:t>
      </w:r>
      <w:r w:rsidR="009247C5">
        <w:t xml:space="preserve"> in principe</w:t>
      </w:r>
      <w:r w:rsidR="009F60CF">
        <w:t xml:space="preserve"> kiezen voor de </w:t>
      </w:r>
      <w:r w:rsidR="009F60CF" w:rsidRPr="006E1B1A">
        <w:t xml:space="preserve">fiscaal meest </w:t>
      </w:r>
      <w:r w:rsidR="006E1B1A" w:rsidRPr="006E1B1A">
        <w:t>gunstige</w:t>
      </w:r>
      <w:r w:rsidR="009247C5" w:rsidRPr="006E1B1A">
        <w:t>.</w:t>
      </w:r>
      <w:r w:rsidR="009247C5">
        <w:t xml:space="preserve"> Echter </w:t>
      </w:r>
      <w:r w:rsidR="00D97ED9">
        <w:t xml:space="preserve">als </w:t>
      </w:r>
      <w:r w:rsidR="009247C5">
        <w:t>dit</w:t>
      </w:r>
      <w:r w:rsidR="009F60CF">
        <w:t xml:space="preserve"> in strijd is met </w:t>
      </w:r>
      <w:r w:rsidR="009247C5">
        <w:t>doel en strekking van de wet komt</w:t>
      </w:r>
      <w:r w:rsidR="009F60CF">
        <w:t xml:space="preserve"> de </w:t>
      </w:r>
      <w:r w:rsidR="009247C5">
        <w:t>fiscus</w:t>
      </w:r>
      <w:r w:rsidR="009F60CF">
        <w:t xml:space="preserve"> alsnog fraus legis toepassen en </w:t>
      </w:r>
      <w:r w:rsidR="00D97ED9">
        <w:t xml:space="preserve">zal </w:t>
      </w:r>
      <w:r w:rsidR="009F60CF">
        <w:t>renteaftrek niet toe</w:t>
      </w:r>
      <w:r w:rsidR="00D97ED9">
        <w:t>ge</w:t>
      </w:r>
      <w:r w:rsidR="009F60CF">
        <w:t>staan</w:t>
      </w:r>
      <w:r w:rsidR="00D97ED9">
        <w:t xml:space="preserve"> worden</w:t>
      </w:r>
      <w:r w:rsidR="009F60CF">
        <w:t xml:space="preserve">. </w:t>
      </w:r>
    </w:p>
    <w:p w:rsidR="008C2AF9" w:rsidRDefault="009F60CF" w:rsidP="009F60CF">
      <w:pPr>
        <w:pStyle w:val="NoSpacing"/>
        <w:spacing w:line="360" w:lineRule="auto"/>
      </w:pPr>
      <w:r>
        <w:lastRenderedPageBreak/>
        <w:t>In BNB 1996/6</w:t>
      </w:r>
      <w:r w:rsidR="00D97ED9">
        <w:rPr>
          <w:rStyle w:val="FootnoteReference"/>
        </w:rPr>
        <w:footnoteReference w:id="23"/>
      </w:r>
      <w:r>
        <w:t>, het Noorwegen arrest</w:t>
      </w:r>
      <w:r w:rsidR="009247C5">
        <w:t>,</w:t>
      </w:r>
      <w:r>
        <w:t xml:space="preserve"> werd beslist dat</w:t>
      </w:r>
      <w:r w:rsidR="009247C5">
        <w:t xml:space="preserve"> externe financiering, </w:t>
      </w:r>
      <w:r>
        <w:t xml:space="preserve">een lening van een onafhankelijke derde, bijvoorbeeld een bank, wel zakelijk is en </w:t>
      </w:r>
      <w:r w:rsidR="006E1B1A">
        <w:t>niet leidt tot enige beperking, z</w:t>
      </w:r>
      <w:r w:rsidR="009247C5">
        <w:t xml:space="preserve">elfs niet wanneer deze lening direct van een groepsmaatschappij werd opgenomen. </w:t>
      </w:r>
      <w:r>
        <w:t>Op deze manier kwamen financieringmaatschappijen niet in problemen. Fi</w:t>
      </w:r>
      <w:r w:rsidR="00D97ED9">
        <w:t>nancieringmaatschappijen lenen</w:t>
      </w:r>
      <w:r>
        <w:t xml:space="preserve"> vaak </w:t>
      </w:r>
      <w:r w:rsidR="00844B9F">
        <w:t>externe bank</w:t>
      </w:r>
      <w:r>
        <w:t>leningen door aan venn</w:t>
      </w:r>
      <w:r w:rsidR="00844B9F">
        <w:t xml:space="preserve">ootschappen binnen het concern. </w:t>
      </w:r>
    </w:p>
    <w:p w:rsidR="009F60CF" w:rsidRDefault="009F60CF" w:rsidP="009F60CF">
      <w:pPr>
        <w:pStyle w:val="NoSpacing"/>
        <w:spacing w:line="360" w:lineRule="auto"/>
      </w:pPr>
      <w:r>
        <w:t>Tot slot werd er in BNB 2005/169</w:t>
      </w:r>
      <w:r w:rsidR="00D97ED9">
        <w:rPr>
          <w:rStyle w:val="FootnoteReference"/>
        </w:rPr>
        <w:footnoteReference w:id="24"/>
      </w:r>
      <w:r>
        <w:t xml:space="preserve"> beslist dat een externe acquisitie, dus van een onafhankelijke derde, </w:t>
      </w:r>
      <w:r w:rsidR="008C2AF9">
        <w:t xml:space="preserve">ook </w:t>
      </w:r>
      <w:r>
        <w:t>altijd als zakelijk word</w:t>
      </w:r>
      <w:r w:rsidR="00844B9F">
        <w:t>t</w:t>
      </w:r>
      <w:r>
        <w:t xml:space="preserve"> aangemerkt. </w:t>
      </w:r>
    </w:p>
    <w:p w:rsidR="009F60CF" w:rsidRDefault="009F60CF" w:rsidP="009F60CF">
      <w:pPr>
        <w:pStyle w:val="NoSpacing"/>
      </w:pPr>
    </w:p>
    <w:p w:rsidR="009F60CF" w:rsidRDefault="009F60CF" w:rsidP="009F60CF">
      <w:pPr>
        <w:pStyle w:val="NoSpacing"/>
        <w:spacing w:line="360" w:lineRule="auto"/>
      </w:pPr>
      <w:r>
        <w:t>Het is dus duidelijk dat art</w:t>
      </w:r>
      <w:r w:rsidR="00844B9F">
        <w:t>.</w:t>
      </w:r>
      <w:r>
        <w:t xml:space="preserve"> 10a Wet VPB 1969 een </w:t>
      </w:r>
      <w:r w:rsidR="00844B9F">
        <w:t xml:space="preserve">lange </w:t>
      </w:r>
      <w:r>
        <w:t xml:space="preserve">voorgeschiedenis heeft. Langzaam zijn alle bouwstenen neergezet door middel van de fraus legis jurisprudentie. De aard van deze jurisprudentie ligt in het tegengaan van misbruik en het uithollen van de heffingsgrondslag. Financieringskosten zijn volgens </w:t>
      </w:r>
      <w:r w:rsidR="00BD13CA">
        <w:t>art.</w:t>
      </w:r>
      <w:r>
        <w:t xml:space="preserve"> 3.8 Wet IB 2002 aftrekbaar van de belastbare winst. Door middel van gekunstelde rentestromen tussen verbonden lichamen kunnen belastingplichtige</w:t>
      </w:r>
      <w:r w:rsidR="00844B9F">
        <w:t>n</w:t>
      </w:r>
      <w:r>
        <w:t xml:space="preserve"> gebruik maken van deze wetsbepaling en op die manier de heffingsgrondslag van de vennootschapsbelasting uithollen. Bij het bepalen of een rechtshandeling voldoet aan het criterium misbruik, wordt er gekeken naar een objectieve norm. Centraal staat de vraag: “Is het toestaan van renteaftrek bij deze handeling in strijd met doel en strekking van de wet?”. Dit is het normvereiste. Daarnaast zien we ook een subjectief vereiste</w:t>
      </w:r>
      <w:r>
        <w:rPr>
          <w:rStyle w:val="FootnoteReference"/>
        </w:rPr>
        <w:footnoteReference w:id="25"/>
      </w:r>
      <w:r>
        <w:t xml:space="preserve"> terugkomen. Hier </w:t>
      </w:r>
      <w:r w:rsidR="00D97ED9">
        <w:t xml:space="preserve">staat </w:t>
      </w:r>
      <w:r>
        <w:t>het motief van de belastingpl</w:t>
      </w:r>
      <w:r w:rsidR="00D97ED9">
        <w:t>ichtige centraal</w:t>
      </w:r>
      <w:r w:rsidR="00844B9F">
        <w:t>. Als handelingen hoofdzakelijk</w:t>
      </w:r>
      <w:r>
        <w:t xml:space="preserve"> gericht zijn op het behalen van fiscale voordelen en niet op de financiering van de onderneming en het voortbest</w:t>
      </w:r>
      <w:r w:rsidR="00844B9F">
        <w:t>aan daarvan, dan is er sprake van misbruik</w:t>
      </w:r>
      <w:r>
        <w:t xml:space="preserve">. Er kan door middel van de compenserende heffing bij de schuldeiser </w:t>
      </w:r>
      <w:r w:rsidR="00844B9F">
        <w:t>worden aangetoond dat er geen handelingen worden verricht, die in strijdt zijn met doel en strekking van de wet</w:t>
      </w:r>
      <w:r>
        <w:t xml:space="preserve">, zodat de rentekosten toch in aftrek komen van het belastbaar inkomen. </w:t>
      </w:r>
    </w:p>
    <w:p w:rsidR="009F60CF" w:rsidRPr="008208AC" w:rsidRDefault="009F60CF" w:rsidP="009F60CF">
      <w:pPr>
        <w:pStyle w:val="NoSpacing"/>
        <w:spacing w:line="360" w:lineRule="auto"/>
      </w:pPr>
      <w:r>
        <w:t>Het normvereiste is naar mijn mening het belangrijkste binnen de fraus legis jurisprudentie en de codificatie naar art</w:t>
      </w:r>
      <w:r w:rsidR="00844B9F">
        <w:t>.</w:t>
      </w:r>
      <w:r>
        <w:t xml:space="preserve"> 10a Wet VPB 196</w:t>
      </w:r>
      <w:r w:rsidR="00844B9F">
        <w:t>9</w:t>
      </w:r>
      <w:r>
        <w:t xml:space="preserve">, dat we in het volgende onderdeel zullen behandelen. Het is namelijk mogelijk dat een belastingplichtige niet het primaire doel heeft fiscale voordelen te behalen, maar toch de grondslag uitholt met een rechtshandeling. Op dit moment wordt er niet aan het subjectieve vereiste, maar wel aan het objectieve vereiste voldaan en </w:t>
      </w:r>
      <w:r w:rsidRPr="008208AC">
        <w:t xml:space="preserve">zal het in strijd zijn met doel en strekking van de wet om de aftrek van rentekosten toe te staan. Bij de beantwoording van de hoofdvraag zal ik het normvereiste sterk in overweging nemen. </w:t>
      </w:r>
    </w:p>
    <w:p w:rsidR="00467176" w:rsidRPr="009F60CF" w:rsidRDefault="00BD13CA" w:rsidP="00751820">
      <w:pPr>
        <w:pStyle w:val="Heading1"/>
        <w:numPr>
          <w:ilvl w:val="0"/>
          <w:numId w:val="4"/>
        </w:numPr>
      </w:pPr>
      <w:bookmarkStart w:id="6" w:name="_Toc299359012"/>
      <w:bookmarkStart w:id="7" w:name="_Toc298503283"/>
      <w:proofErr w:type="gramStart"/>
      <w:r>
        <w:lastRenderedPageBreak/>
        <w:t>Art.</w:t>
      </w:r>
      <w:r w:rsidR="009F60CF" w:rsidRPr="009F60CF">
        <w:t xml:space="preserve"> </w:t>
      </w:r>
      <w:proofErr w:type="gramEnd"/>
      <w:r w:rsidR="009F60CF" w:rsidRPr="009F60CF">
        <w:t>10a Wet VPB 1969, invoering en uitwerking</w:t>
      </w:r>
      <w:bookmarkEnd w:id="6"/>
    </w:p>
    <w:p w:rsidR="00467176" w:rsidRPr="009F60CF" w:rsidRDefault="009F60CF" w:rsidP="00751820">
      <w:pPr>
        <w:pStyle w:val="Heading2"/>
        <w:numPr>
          <w:ilvl w:val="1"/>
          <w:numId w:val="4"/>
        </w:numPr>
      </w:pPr>
      <w:bookmarkStart w:id="8" w:name="_Toc299359013"/>
      <w:r w:rsidRPr="009F60CF">
        <w:t>De invoering</w:t>
      </w:r>
      <w:bookmarkEnd w:id="8"/>
    </w:p>
    <w:p w:rsidR="009F60CF" w:rsidRPr="009F60CF" w:rsidRDefault="009F60CF" w:rsidP="009F60CF">
      <w:pPr>
        <w:pStyle w:val="NoSpacing"/>
        <w:spacing w:line="360" w:lineRule="auto"/>
      </w:pPr>
      <w:r w:rsidRPr="009F60CF">
        <w:t xml:space="preserve">De fraus legis jurisprudentie is gecodificeerd naar </w:t>
      </w:r>
      <w:r w:rsidR="00BD13CA">
        <w:t>art.</w:t>
      </w:r>
      <w:r w:rsidRPr="009F60CF">
        <w:t xml:space="preserve"> 10a Wet VPB 1969, die op 26 december 1996 ingevoerd werd. Het hoofddoel hierbij was het bestrijden van misbruik. Misbruik door gekunstelde constructies zijn volgens de wetgever niet gewenst. In de memorie van toelichting</w:t>
      </w:r>
      <w:r w:rsidRPr="009F60CF">
        <w:rPr>
          <w:vertAlign w:val="superscript"/>
        </w:rPr>
        <w:footnoteReference w:id="26"/>
      </w:r>
      <w:r w:rsidRPr="009F60CF">
        <w:t xml:space="preserve"> schrijft de wetgever: “naast versterking van de fiscale infrastructuur is het noodzakelijk om ongewenst en oneigenlijk gebruik van het fiscale stelsel, onder meer door (veelal) gekunstelde belastingbesparende constructies tegen te gaan”. Dergelijke constructies dragen volgens de wetgever niet bij aan de Nederlandse economische groei en de werkgelegenheid. Daarbij hollen ze de heffingsgrondslag uit, wat een budgettair nadeel voor de staatskas oplevert. De ‘gekunstelde belastingbesparende constructies’ heeft de wetgever expliciet opgenomen in de wettekst, namelijk in het eerste lid, onderdelen a, b en c. Deze besmette rechtshandelingen zijn len</w:t>
      </w:r>
      <w:r w:rsidR="006E1B1A">
        <w:t>ingen van een verbonden persoon</w:t>
      </w:r>
      <w:r w:rsidRPr="009F60CF">
        <w:t xml:space="preserve"> die verband houden met een winstuitdeling of een teruggaaf van gestort kapitaal, een kapitaalstorting door de belastingplichtige of de verwerving of uitbreiding van een belang door de belastingplichtige. Als een belastingplichtige een van deze rechtshandelingen doet</w:t>
      </w:r>
      <w:r w:rsidR="006E1B1A">
        <w:t>,</w:t>
      </w:r>
      <w:r w:rsidRPr="009F60CF">
        <w:t xml:space="preserve"> zullen de rentekosten niet aftrekbaar zijn van het belastbaar inkomen. Op deze manier valt het voordeel van de constructie weg. </w:t>
      </w:r>
    </w:p>
    <w:p w:rsidR="008C2AF9" w:rsidRDefault="009F60CF" w:rsidP="009F60CF">
      <w:pPr>
        <w:pStyle w:val="NoSpacing"/>
        <w:spacing w:line="360" w:lineRule="auto"/>
      </w:pPr>
      <w:r w:rsidRPr="009F60CF">
        <w:t>Bij het lezen van de wettekst wordt duidelijk dat een groot deel van de fraus legis jurisprudentie in de bepaling is verwerkt</w:t>
      </w:r>
      <w:r w:rsidR="00DD659C" w:rsidRPr="009F60CF">
        <w:rPr>
          <w:vertAlign w:val="superscript"/>
        </w:rPr>
        <w:footnoteReference w:id="27"/>
      </w:r>
      <w:r w:rsidR="008C2AF9">
        <w:t>. Zo is het subjectieve motiefvereiste (</w:t>
      </w:r>
      <w:r w:rsidRPr="009F60CF">
        <w:t>zakelijkheidtoets</w:t>
      </w:r>
      <w:r w:rsidR="008C2AF9">
        <w:t>)</w:t>
      </w:r>
      <w:r w:rsidRPr="009F60CF">
        <w:t xml:space="preserve">duidelijk terug te zien in het derde lid onderdeel a. Als de belastingplichtige aannemelijk maakt dat er aan zijn rechtshandeling </w:t>
      </w:r>
      <w:r w:rsidR="00D13047">
        <w:t>en aan de lening in overwegende mate z</w:t>
      </w:r>
      <w:r w:rsidRPr="009F60CF">
        <w:t>akelij</w:t>
      </w:r>
      <w:r w:rsidR="00D13047">
        <w:t>ke overweging ten grondslag liggen</w:t>
      </w:r>
      <w:r w:rsidRPr="009F60CF">
        <w:t xml:space="preserve"> kan hij alsnog de rentekosten van de lening aftrekken van zijn belastbaar inkomen. In het derde lid komt ook de compenserende heffing (BNB 2002/118) terug met een tarief van 10% van een naar Nederlandse maatstaven gemeten heffingsgrondslag. Als de belastingplichtige aannemelijk maakt</w:t>
      </w:r>
      <w:r w:rsidR="00D13047">
        <w:t>,</w:t>
      </w:r>
      <w:r w:rsidRPr="009F60CF">
        <w:t xml:space="preserve"> dat de schuldeiser </w:t>
      </w:r>
      <w:r w:rsidR="00D13047">
        <w:t>voor de renteopbrengsten</w:t>
      </w:r>
      <w:r w:rsidRPr="009F60CF">
        <w:t xml:space="preserve"> in een</w:t>
      </w:r>
      <w:r w:rsidR="00D13047">
        <w:t>,</w:t>
      </w:r>
      <w:r w:rsidRPr="009F60CF">
        <w:t xml:space="preserve"> naar Nederlandse maatstaven redelijke</w:t>
      </w:r>
      <w:r w:rsidR="00D13047">
        <w:t>,</w:t>
      </w:r>
      <w:r w:rsidRPr="009F60CF">
        <w:t xml:space="preserve"> heffing betrokken word</w:t>
      </w:r>
      <w:r w:rsidR="00D13047">
        <w:t>, kan er voldaan worden aan de compenserende heffing</w:t>
      </w:r>
      <w:r w:rsidR="006E1B1A">
        <w:t>. Echter als de schuldeiser</w:t>
      </w:r>
      <w:r w:rsidRPr="009F60CF">
        <w:t xml:space="preserve"> beschikt over compensabele verliezen vervalt</w:t>
      </w:r>
      <w:r w:rsidR="00D13047">
        <w:t xml:space="preserve">, in afwijking van de jurisprudentie, </w:t>
      </w:r>
      <w:r w:rsidRPr="009F60CF">
        <w:t xml:space="preserve">de tegenbewijsmogelijkheid van de compenserende heffing en zal de aftrekbeperking alsnog plaats vinden. </w:t>
      </w:r>
    </w:p>
    <w:p w:rsidR="008C2AF9" w:rsidRDefault="008C2AF9" w:rsidP="009F60CF">
      <w:pPr>
        <w:pStyle w:val="NoSpacing"/>
        <w:spacing w:line="360" w:lineRule="auto"/>
      </w:pPr>
    </w:p>
    <w:p w:rsidR="009F60CF" w:rsidRPr="009F60CF" w:rsidRDefault="009F60CF" w:rsidP="009F60CF">
      <w:pPr>
        <w:pStyle w:val="NoSpacing"/>
        <w:spacing w:line="360" w:lineRule="auto"/>
      </w:pPr>
      <w:r w:rsidRPr="009F60CF">
        <w:t>Nu is het duidelijk wat het doel is van het artikel en met welke achtergrond het is ontstaan. Het belangrijkste is dat in zowel de fraus legis jurisprudentie als in de wetsbepaling het normvereiste de</w:t>
      </w:r>
      <w:r w:rsidR="008C2AF9">
        <w:t xml:space="preserve"> </w:t>
      </w:r>
      <w:r w:rsidRPr="009F60CF">
        <w:lastRenderedPageBreak/>
        <w:t xml:space="preserve">boventoon lijkt te voeren. De wetgever tracht misbruik van </w:t>
      </w:r>
      <w:r w:rsidR="008C2AF9">
        <w:t>recht</w:t>
      </w:r>
      <w:r w:rsidRPr="009F60CF">
        <w:t xml:space="preserve"> tegen te gaan en zo uitholling van de heffingsgrondslag te voorkomen. </w:t>
      </w:r>
    </w:p>
    <w:p w:rsidR="00467176" w:rsidRPr="009F60CF" w:rsidRDefault="009F60CF" w:rsidP="00751820">
      <w:pPr>
        <w:pStyle w:val="Heading2"/>
        <w:numPr>
          <w:ilvl w:val="1"/>
          <w:numId w:val="4"/>
        </w:numPr>
      </w:pPr>
      <w:bookmarkStart w:id="9" w:name="_Toc299359014"/>
      <w:r w:rsidRPr="009F60CF">
        <w:t xml:space="preserve">Valutaresultaten binnen </w:t>
      </w:r>
      <w:r w:rsidR="00BD13CA">
        <w:t>art.</w:t>
      </w:r>
      <w:r w:rsidRPr="009F60CF">
        <w:t xml:space="preserve"> 10a Wet VPB 1969</w:t>
      </w:r>
      <w:bookmarkEnd w:id="9"/>
    </w:p>
    <w:p w:rsidR="00467176" w:rsidRPr="009F60CF" w:rsidRDefault="00D16D14" w:rsidP="009F60CF">
      <w:pPr>
        <w:pStyle w:val="NoSpacing"/>
        <w:spacing w:line="360" w:lineRule="auto"/>
      </w:pPr>
      <w:r w:rsidRPr="009F60CF">
        <w:t>Helaas is er nog wel veel onzekerheid betreffende valutaresultaten. Valutaresultaten die ontstaan uit een lening, waar een besmette rechtshandeling aan vooraf is gegaan, zijn volgens het eerste lid ook uitgesloten van aftrek. De wettekst luidt als volgt:</w:t>
      </w:r>
    </w:p>
    <w:p w:rsidR="00467176" w:rsidRPr="009F60CF" w:rsidRDefault="00467176" w:rsidP="009F60CF">
      <w:pPr>
        <w:pStyle w:val="NoSpacing"/>
        <w:spacing w:line="360" w:lineRule="auto"/>
      </w:pPr>
    </w:p>
    <w:p w:rsidR="009F60CF" w:rsidRPr="009F60CF" w:rsidRDefault="00D16D14" w:rsidP="009F60CF">
      <w:pPr>
        <w:pStyle w:val="NoSpacing"/>
        <w:spacing w:line="360" w:lineRule="auto"/>
        <w:rPr>
          <w:i/>
        </w:rPr>
      </w:pPr>
      <w:r w:rsidRPr="009F60CF">
        <w:rPr>
          <w:i/>
        </w:rPr>
        <w:t xml:space="preserve">“Bij het bepalen van de winst komen mede niet in aftrek </w:t>
      </w:r>
      <w:r w:rsidRPr="009F60CF">
        <w:rPr>
          <w:i/>
          <w:u w:val="single"/>
        </w:rPr>
        <w:t>renten</w:t>
      </w:r>
      <w:r w:rsidRPr="009F60CF">
        <w:rPr>
          <w:i/>
        </w:rPr>
        <w:t xml:space="preserve"> – kosten en </w:t>
      </w:r>
      <w:r w:rsidRPr="009F60CF">
        <w:rPr>
          <w:i/>
          <w:u w:val="single"/>
        </w:rPr>
        <w:t>valutaresultaten</w:t>
      </w:r>
      <w:r w:rsidRPr="009F60CF">
        <w:rPr>
          <w:i/>
        </w:rPr>
        <w:t xml:space="preserve"> daaronder begrepen – ter zake van schulden.... verschuldigd aan een verbonden lichaam of natuurlijk persoon, </w:t>
      </w:r>
      <w:proofErr w:type="gramStart"/>
      <w:r w:rsidRPr="009F60CF">
        <w:rPr>
          <w:i/>
        </w:rPr>
        <w:t>....</w:t>
      </w:r>
      <w:proofErr w:type="gramEnd"/>
      <w:r w:rsidRPr="009F60CF">
        <w:rPr>
          <w:i/>
          <w:vertAlign w:val="superscript"/>
        </w:rPr>
        <w:footnoteReference w:id="28"/>
      </w:r>
      <w:r w:rsidRPr="009F60CF">
        <w:rPr>
          <w:i/>
        </w:rPr>
        <w:t>”</w:t>
      </w:r>
    </w:p>
    <w:p w:rsidR="00467176" w:rsidRPr="009F60CF" w:rsidRDefault="00467176" w:rsidP="009F60CF">
      <w:pPr>
        <w:pStyle w:val="NoSpacing"/>
        <w:spacing w:line="360" w:lineRule="auto"/>
        <w:rPr>
          <w:i/>
        </w:rPr>
      </w:pPr>
    </w:p>
    <w:p w:rsidR="009F60CF" w:rsidRPr="009F60CF" w:rsidRDefault="00D16D14" w:rsidP="009F60CF">
      <w:pPr>
        <w:pStyle w:val="NoSpacing"/>
        <w:spacing w:line="360" w:lineRule="auto"/>
      </w:pPr>
      <w:r w:rsidRPr="009F60CF">
        <w:t xml:space="preserve">Het is dus duidelijk dat valutaverliezen niet in aftrek komen van de belastbare winst. Het is echter onduidelijk hoe valutawinsten behandeld dienen te worden. </w:t>
      </w:r>
      <w:r w:rsidR="009F60CF" w:rsidRPr="009F60CF">
        <w:t xml:space="preserve">Echter, </w:t>
      </w:r>
      <w:r w:rsidRPr="009F60CF">
        <w:t>ik denk dat het belangrijk is om eerst te kijken wat de onderbouwing is</w:t>
      </w:r>
      <w:r w:rsidR="00276B27">
        <w:t>,</w:t>
      </w:r>
      <w:r w:rsidRPr="009F60CF">
        <w:t xml:space="preserve"> die de wetgever geeft voor het opnemen van valutaresultaten in de bepaling. In de Memorie van Toelichting rept de wetgever geen woord over deze onderbouwing</w:t>
      </w:r>
      <w:r w:rsidRPr="009F60CF">
        <w:rPr>
          <w:vertAlign w:val="superscript"/>
        </w:rPr>
        <w:footnoteReference w:id="29"/>
      </w:r>
      <w:r w:rsidRPr="009F60CF">
        <w:t>. Het is dan ook moeilijk te bepalen waarom de wetgever ervoor heeft gekozen de valutaresultaten op te nemen in de wettekst.</w:t>
      </w:r>
      <w:r w:rsidR="009F60CF" w:rsidRPr="009F60CF">
        <w:t xml:space="preserve"> </w:t>
      </w:r>
      <w:r w:rsidR="00467176">
        <w:t>Wattel</w:t>
      </w:r>
      <w:r w:rsidR="00BD6EA6">
        <w:rPr>
          <w:rStyle w:val="FootnoteReference"/>
        </w:rPr>
        <w:footnoteReference w:id="30"/>
      </w:r>
      <w:r w:rsidR="00467176">
        <w:t xml:space="preserve"> concludeert dat de wetgever zich waarschijnlijk heeft ge</w:t>
      </w:r>
      <w:r w:rsidR="00BD6EA6">
        <w:t>baseerd op de rentepariteit. Ik neem aan dat dit ook zo is. De rentepariteit houdt in dat valutaresultaten volledig voorspelbaar zijn aan de hand van de rentestanden. Enig valutarisico valt weg en valutaresultaten worden een beheersbare factor. Volledige bepaalbaarheid van valutaresultaten is naar mijn mening de enige manier om de opname van valutaresultaten in art</w:t>
      </w:r>
      <w:r w:rsidR="00AD2C4E">
        <w:t>.</w:t>
      </w:r>
      <w:r w:rsidR="00BD6EA6">
        <w:t xml:space="preserve"> 10a Wet VPB 1969 te verklaren. </w:t>
      </w:r>
    </w:p>
    <w:p w:rsidR="009F60CF" w:rsidRPr="009F60CF" w:rsidRDefault="009F60CF" w:rsidP="009F60CF">
      <w:pPr>
        <w:pStyle w:val="NoSpacing"/>
        <w:spacing w:line="360" w:lineRule="auto"/>
      </w:pPr>
      <w:r w:rsidRPr="009F60CF">
        <w:t>Het doel van art</w:t>
      </w:r>
      <w:r w:rsidR="00AD2C4E">
        <w:t>.</w:t>
      </w:r>
      <w:r w:rsidRPr="009F60CF">
        <w:t xml:space="preserve"> 10a Wet VPB 1969 is het tegengaan van misbruik en het voorkomen van grondslaguitholling. Dit in ogenschouw nemend kan er geconcludeerd worden dat in de wettekst alleen factoren worden opgenomen die bijdragen aan het misbruik en de uitholling. Dit moeten, net zoals de rentekosten, </w:t>
      </w:r>
      <w:r w:rsidR="00C14E8C">
        <w:t>bij aanvang bekende</w:t>
      </w:r>
      <w:r w:rsidRPr="009F60CF">
        <w:t xml:space="preserve"> kosten zijn. Onvoorspelbare factoren kunnen geen middel voor misbruik zijn. Dit leidt er</w:t>
      </w:r>
      <w:r w:rsidR="008C2AF9">
        <w:t xml:space="preserve"> </w:t>
      </w:r>
      <w:r w:rsidRPr="009F60CF">
        <w:t>t</w:t>
      </w:r>
      <w:r w:rsidR="008C2AF9">
        <w:t>o</w:t>
      </w:r>
      <w:r w:rsidRPr="009F60CF">
        <w:t>e dat het niet anders kan</w:t>
      </w:r>
      <w:r w:rsidR="00C848D8">
        <w:t>, dan</w:t>
      </w:r>
      <w:r w:rsidRPr="009F60CF">
        <w:t xml:space="preserve"> dat valutaresultaten beschouwd worden als een voorspelbare factor</w:t>
      </w:r>
      <w:r w:rsidR="008C2AF9">
        <w:t>.</w:t>
      </w:r>
      <w:r w:rsidRPr="009F60CF">
        <w:t xml:space="preserve"> </w:t>
      </w:r>
      <w:r w:rsidR="008C2AF9">
        <w:t xml:space="preserve">Deze factor </w:t>
      </w:r>
      <w:r w:rsidRPr="009F60CF">
        <w:t>kan</w:t>
      </w:r>
      <w:r w:rsidR="008C2AF9">
        <w:t xml:space="preserve"> gebruikt</w:t>
      </w:r>
      <w:r w:rsidRPr="009F60CF">
        <w:t xml:space="preserve"> worden bij constructies</w:t>
      </w:r>
      <w:r w:rsidR="00C848D8">
        <w:t>, die erop gericht zijn fiscaal</w:t>
      </w:r>
      <w:r w:rsidRPr="009F60CF">
        <w:t xml:space="preserve"> voordeel te behalen en daarbij de heffingsgrondslag versmallen. Dit leidt tot de volgende assumptie: ‘Valutaresultaten zijn voorspelbaar en </w:t>
      </w:r>
      <w:r w:rsidR="00276B27">
        <w:t>beïnvloedbaar’. Als we hier van</w:t>
      </w:r>
      <w:r w:rsidRPr="009F60CF">
        <w:t xml:space="preserve">uit gaan zal het volledige valutaverlies niet in aftrek worden genomen. Daarnaast zullen winsten volledig tot de belastbare winst moeten worden gerekend. Immers, als een belastingplichtige de hoogte van het </w:t>
      </w:r>
      <w:r w:rsidRPr="009F60CF">
        <w:lastRenderedPageBreak/>
        <w:t>valutare</w:t>
      </w:r>
      <w:r w:rsidR="00C14E8C">
        <w:t>sultaat redelijkerwijs kan voorspellen,</w:t>
      </w:r>
      <w:r w:rsidRPr="009F60CF">
        <w:t xml:space="preserve"> bestaat er mijns inzien geen reden deze op een andere manier te behandelen. Een andere optie is het volledig vrijstellen van de positieve resultaten. Op dat moment worden zowel verliezen als winsten volledig buiten de belastbare winst gehouden. Ik acht dit niet juist. </w:t>
      </w:r>
      <w:proofErr w:type="gramStart"/>
      <w:r w:rsidRPr="009F60CF">
        <w:t>Art</w:t>
      </w:r>
      <w:r w:rsidR="00AD2C4E">
        <w:t>.</w:t>
      </w:r>
      <w:r w:rsidRPr="009F60CF">
        <w:t xml:space="preserve"> </w:t>
      </w:r>
      <w:proofErr w:type="gramEnd"/>
      <w:r w:rsidRPr="009F60CF">
        <w:t xml:space="preserve">10a VPB 1969 is immers een antimisbruikbepaling. Een vrijstelling voor valutawinsten zal dan ook stroken met het doel van de bepaling. </w:t>
      </w:r>
    </w:p>
    <w:p w:rsidR="009F60CF" w:rsidRPr="009F60CF" w:rsidRDefault="009F60CF" w:rsidP="009F60CF">
      <w:pPr>
        <w:pStyle w:val="NoSpacing"/>
        <w:spacing w:line="360" w:lineRule="auto"/>
      </w:pPr>
      <w:r w:rsidRPr="009F60CF">
        <w:t>Het buiten aanmerking laten van alle valutaresultaten bij de bepaling van de winst is in lijn met de mening van de wetgever</w:t>
      </w:r>
      <w:r w:rsidRPr="009F60CF">
        <w:rPr>
          <w:vertAlign w:val="superscript"/>
        </w:rPr>
        <w:footnoteReference w:id="31"/>
      </w:r>
      <w:r w:rsidRPr="009F60CF">
        <w:t xml:space="preserve">. Onder de assumptie dat valutaresultaten volledig beheersbaar zijn door de belastingplichtige, kan ik de wetgever niet in het ongelijk stellen. Echter als valutaresultaten niet volledig voorspelbaar zijn verandert </w:t>
      </w:r>
      <w:r w:rsidR="00BD6EA6">
        <w:t>dat</w:t>
      </w:r>
      <w:r w:rsidRPr="009F60CF">
        <w:t xml:space="preserve">. </w:t>
      </w:r>
    </w:p>
    <w:p w:rsidR="009F60CF" w:rsidRDefault="009F60CF" w:rsidP="009F60CF">
      <w:pPr>
        <w:pStyle w:val="NoSpacing"/>
        <w:spacing w:line="360" w:lineRule="auto"/>
      </w:pPr>
      <w:r w:rsidRPr="009F60CF">
        <w:t xml:space="preserve">In komende paragraaf zal ik onderzoeken hoe verschillende instanties denken over de toepassing van </w:t>
      </w:r>
      <w:r w:rsidR="00BD13CA">
        <w:t>art.</w:t>
      </w:r>
      <w:r w:rsidRPr="009F60CF">
        <w:t xml:space="preserve"> 10a Wet VPB 1969 op valutaresultaten. </w:t>
      </w:r>
      <w:bookmarkEnd w:id="7"/>
    </w:p>
    <w:p w:rsidR="00991710" w:rsidRPr="009F60CF" w:rsidRDefault="00991710" w:rsidP="009F60CF">
      <w:pPr>
        <w:pStyle w:val="NoSpacing"/>
        <w:spacing w:line="360" w:lineRule="auto"/>
      </w:pPr>
    </w:p>
    <w:p w:rsidR="00D4670D" w:rsidRDefault="00D4670D" w:rsidP="00751820">
      <w:pPr>
        <w:pStyle w:val="ListParagraph"/>
        <w:numPr>
          <w:ilvl w:val="1"/>
          <w:numId w:val="4"/>
        </w:numPr>
      </w:pPr>
      <w:bookmarkStart w:id="10" w:name="_Toc299359015"/>
      <w:r w:rsidRPr="00986DEC">
        <w:rPr>
          <w:rStyle w:val="Heading2Char"/>
        </w:rPr>
        <w:t xml:space="preserve">Discussie </w:t>
      </w:r>
      <w:proofErr w:type="gramStart"/>
      <w:r w:rsidRPr="00986DEC">
        <w:rPr>
          <w:rStyle w:val="Heading2Char"/>
        </w:rPr>
        <w:t>omtrent</w:t>
      </w:r>
      <w:proofErr w:type="gramEnd"/>
      <w:r w:rsidRPr="00986DEC">
        <w:rPr>
          <w:rStyle w:val="Heading2Char"/>
        </w:rPr>
        <w:t xml:space="preserve"> de toepassing van </w:t>
      </w:r>
      <w:r w:rsidR="00BD13CA">
        <w:rPr>
          <w:rStyle w:val="Heading2Char"/>
          <w:rFonts w:eastAsia="Calibri"/>
        </w:rPr>
        <w:t>art.</w:t>
      </w:r>
      <w:r w:rsidRPr="00991710">
        <w:rPr>
          <w:rStyle w:val="Heading2Char"/>
          <w:rFonts w:eastAsia="Calibri"/>
        </w:rPr>
        <w:t xml:space="preserve"> 10a Wet VBP 1969</w:t>
      </w:r>
      <w:r w:rsidRPr="00986DEC">
        <w:rPr>
          <w:rStyle w:val="Heading2Char"/>
        </w:rPr>
        <w:t xml:space="preserve"> op valutaresultaten</w:t>
      </w:r>
      <w:bookmarkEnd w:id="10"/>
    </w:p>
    <w:p w:rsidR="00D4670D" w:rsidRDefault="004A5962" w:rsidP="007D7A09">
      <w:pPr>
        <w:pStyle w:val="NoSpacing"/>
        <w:spacing w:line="360" w:lineRule="auto"/>
      </w:pPr>
      <w:r>
        <w:rPr>
          <w:noProof/>
          <w:lang w:val="en-US"/>
        </w:rPr>
        <w:drawing>
          <wp:anchor distT="0" distB="0" distL="114300" distR="114300" simplePos="0" relativeHeight="251664384" behindDoc="1" locked="0" layoutInCell="1" allowOverlap="1">
            <wp:simplePos x="0" y="0"/>
            <wp:positionH relativeFrom="column">
              <wp:posOffset>-13970</wp:posOffset>
            </wp:positionH>
            <wp:positionV relativeFrom="paragraph">
              <wp:posOffset>909320</wp:posOffset>
            </wp:positionV>
            <wp:extent cx="3157220" cy="3333750"/>
            <wp:effectExtent l="19050" t="0" r="5080" b="0"/>
            <wp:wrapTight wrapText="bothSides">
              <wp:wrapPolygon edited="0">
                <wp:start x="-130" y="0"/>
                <wp:lineTo x="-130" y="21477"/>
                <wp:lineTo x="21635" y="21477"/>
                <wp:lineTo x="21635" y="0"/>
                <wp:lineTo x="-130"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3157220" cy="3333750"/>
                    </a:xfrm>
                    <a:prstGeom prst="rect">
                      <a:avLst/>
                    </a:prstGeom>
                    <a:noFill/>
                    <a:ln w="9525">
                      <a:noFill/>
                      <a:miter lim="800000"/>
                      <a:headEnd/>
                      <a:tailEnd/>
                    </a:ln>
                  </pic:spPr>
                </pic:pic>
              </a:graphicData>
            </a:graphic>
          </wp:anchor>
        </w:drawing>
      </w:r>
      <w:r w:rsidR="00D4670D">
        <w:t>Nu we weten wat art</w:t>
      </w:r>
      <w:r w:rsidR="0000463A">
        <w:t>.</w:t>
      </w:r>
      <w:r w:rsidR="00D4670D">
        <w:t xml:space="preserve"> 10a </w:t>
      </w:r>
      <w:r w:rsidR="0000463A">
        <w:t xml:space="preserve">Wet </w:t>
      </w:r>
      <w:r w:rsidR="00D4670D">
        <w:t xml:space="preserve">VPB </w:t>
      </w:r>
      <w:r w:rsidR="0000463A">
        <w:t xml:space="preserve">1969 </w:t>
      </w:r>
      <w:r w:rsidR="00D4670D">
        <w:t>is en hoe het ontstaan is</w:t>
      </w:r>
      <w:r w:rsidR="004A1E5B">
        <w:t>,</w:t>
      </w:r>
      <w:r w:rsidR="00D4670D">
        <w:t xml:space="preserve"> kan de focus op de huidige discussie rondom het </w:t>
      </w:r>
      <w:r w:rsidR="00BD13CA">
        <w:t>art</w:t>
      </w:r>
      <w:r w:rsidR="00D4670D">
        <w:t xml:space="preserve">ikel worden gelegd. De discussie werd geopend met een zaak, welke </w:t>
      </w:r>
      <w:r w:rsidR="0000463A">
        <w:t>werd beslist</w:t>
      </w:r>
      <w:r w:rsidR="00D4670D">
        <w:t xml:space="preserve"> op 9 december 2008 </w:t>
      </w:r>
      <w:r w:rsidR="0000463A">
        <w:t>door</w:t>
      </w:r>
      <w:r w:rsidR="00D4670D">
        <w:t xml:space="preserve"> Rechtbank van Haarlem. Deze </w:t>
      </w:r>
      <w:r w:rsidR="00D4670D" w:rsidRPr="004A5962">
        <w:t>zaak is tevens de aanleiding voor mijn scriptie. Het betrof een lening waar art</w:t>
      </w:r>
      <w:r w:rsidR="0000463A">
        <w:t>.</w:t>
      </w:r>
      <w:r w:rsidR="00D4670D" w:rsidRPr="004A5962">
        <w:t xml:space="preserve"> 10a </w:t>
      </w:r>
      <w:r w:rsidR="0000463A">
        <w:t xml:space="preserve">Wet </w:t>
      </w:r>
      <w:r w:rsidR="00D4670D" w:rsidRPr="004A5962">
        <w:t>VPB</w:t>
      </w:r>
      <w:r w:rsidR="0000463A">
        <w:t xml:space="preserve"> 1969</w:t>
      </w:r>
      <w:r w:rsidR="00D4670D" w:rsidRPr="004A5962">
        <w:t xml:space="preserve"> van toepassing op is. In figuur </w:t>
      </w:r>
      <w:r w:rsidRPr="004A5962">
        <w:t>2</w:t>
      </w:r>
      <w:r w:rsidR="00D4670D" w:rsidRPr="004A5962">
        <w:t xml:space="preserve"> is de</w:t>
      </w:r>
      <w:r w:rsidR="00D4670D">
        <w:t xml:space="preserve"> casu</w:t>
      </w:r>
      <w:r w:rsidR="00276B27">
        <w:t>s geïllustreerd. Belanghebbende</w:t>
      </w:r>
      <w:r w:rsidR="00D4670D">
        <w:t xml:space="preserve"> X BV, was een lening aangegaan met ha</w:t>
      </w:r>
      <w:r w:rsidR="00276B27">
        <w:t>ar Belgische Moedermaatschappij</w:t>
      </w:r>
      <w:r w:rsidR="00D4670D">
        <w:t xml:space="preserve"> D NV. Het was een lening ter grootte van ongeveer </w:t>
      </w:r>
      <w:r w:rsidR="0000463A">
        <w:t>USD</w:t>
      </w:r>
      <w:r w:rsidR="00D4670D">
        <w:t xml:space="preserve"> 47.5</w:t>
      </w:r>
      <w:r w:rsidR="0000463A">
        <w:t xml:space="preserve"> miljoen.</w:t>
      </w:r>
      <w:r w:rsidR="00D4670D">
        <w:t xml:space="preserve"> De wisselkoers was op dat moment </w:t>
      </w:r>
      <w:r w:rsidR="00D4670D" w:rsidRPr="00FE41C2">
        <w:rPr>
          <w:rFonts w:hint="eastAsia"/>
        </w:rPr>
        <w:t>EUR/USD 1,2146</w:t>
      </w:r>
      <w:r w:rsidR="00D4670D">
        <w:t xml:space="preserve"> </w:t>
      </w:r>
      <w:r w:rsidR="00C14E8C">
        <w:t>(</w:t>
      </w:r>
      <w:r w:rsidR="00D4670D">
        <w:t>Een</w:t>
      </w:r>
      <w:r w:rsidR="0000463A">
        <w:t xml:space="preserve"> Euro had dezelfde waarde als 1,2 Dollar</w:t>
      </w:r>
      <w:r w:rsidR="00C14E8C">
        <w:t>).</w:t>
      </w:r>
      <w:r w:rsidR="00D4670D">
        <w:t xml:space="preserve"> </w:t>
      </w:r>
      <w:r w:rsidR="0000463A">
        <w:t>Dit</w:t>
      </w:r>
      <w:r w:rsidR="00D4670D">
        <w:t xml:space="preserve"> bedrag werd vervolgens door X BV doorgeleend aan haar 100% dochtervennootschap E BV. E BV</w:t>
      </w:r>
      <w:r w:rsidR="004A1E5B">
        <w:t xml:space="preserve"> stortte</w:t>
      </w:r>
      <w:r w:rsidR="00D4670D">
        <w:t xml:space="preserve"> het bedrag als agio in haar 95% dochter F A.S, welke gevestigd is in Turkije. </w:t>
      </w:r>
      <w:r w:rsidR="0000463A">
        <w:t>Tot slot stortte</w:t>
      </w:r>
      <w:r w:rsidR="00D4670D">
        <w:t xml:space="preserve"> D NV het bedrag</w:t>
      </w:r>
      <w:r w:rsidR="0000463A">
        <w:t xml:space="preserve"> van de lening</w:t>
      </w:r>
      <w:r w:rsidR="00276B27">
        <w:t xml:space="preserve"> als agio in de belanghebbend</w:t>
      </w:r>
      <w:r w:rsidR="00D4670D">
        <w:t>. X BV realiseerde hierbij een valutawinst</w:t>
      </w:r>
      <w:r w:rsidR="0000463A">
        <w:t xml:space="preserve"> op de aflossing</w:t>
      </w:r>
      <w:r w:rsidR="00D4670D">
        <w:t>.</w:t>
      </w:r>
      <w:r w:rsidR="00D4670D" w:rsidRPr="00925E5E">
        <w:rPr>
          <w:noProof/>
          <w:lang w:eastAsia="nl-NL"/>
        </w:rPr>
        <w:t xml:space="preserve"> </w:t>
      </w:r>
      <w:r w:rsidR="00D4670D">
        <w:rPr>
          <w:noProof/>
          <w:lang w:eastAsia="nl-NL"/>
        </w:rPr>
        <w:t xml:space="preserve">De Euro was namelijk ten opzichte van de dollar geapprecieerd en </w:t>
      </w:r>
      <w:r w:rsidR="00D4670D">
        <w:rPr>
          <w:noProof/>
          <w:lang w:eastAsia="nl-NL"/>
        </w:rPr>
        <w:lastRenderedPageBreak/>
        <w:t xml:space="preserve">de wisselkoers op het moment van de storting was </w:t>
      </w:r>
      <w:r w:rsidR="00D4670D" w:rsidRPr="00FE41C2">
        <w:rPr>
          <w:noProof/>
          <w:lang w:eastAsia="nl-NL"/>
        </w:rPr>
        <w:t>EUR/USD was op die datum 1,3621</w:t>
      </w:r>
      <w:r w:rsidR="00D4670D">
        <w:rPr>
          <w:noProof/>
          <w:lang w:eastAsia="nl-NL"/>
        </w:rPr>
        <w:t xml:space="preserve">. De valutawinst voor de belanghebbende bedroeg ruim </w:t>
      </w:r>
      <w:r w:rsidR="0000463A">
        <w:rPr>
          <w:noProof/>
          <w:lang w:eastAsia="nl-NL"/>
        </w:rPr>
        <w:t>EUR 4 miljoen</w:t>
      </w:r>
      <w:r w:rsidR="00D4670D">
        <w:rPr>
          <w:noProof/>
          <w:lang w:eastAsia="nl-NL"/>
        </w:rPr>
        <w:t xml:space="preserve">. </w:t>
      </w:r>
      <w:r w:rsidR="00D4670D">
        <w:t>In de belastingaangifte heeft de belanghebbe</w:t>
      </w:r>
      <w:r w:rsidR="0000463A">
        <w:t>nde de rentekosten aan D NV</w:t>
      </w:r>
      <w:r w:rsidR="00D4670D">
        <w:t xml:space="preserve"> aangemerkt als </w:t>
      </w:r>
      <w:r w:rsidR="0000463A">
        <w:t>niet-</w:t>
      </w:r>
      <w:r w:rsidR="00D4670D">
        <w:t>aftrekbare kosten. Zij vallen immers onder art</w:t>
      </w:r>
      <w:r w:rsidR="0000463A">
        <w:t>.</w:t>
      </w:r>
      <w:r w:rsidR="00D4670D">
        <w:t xml:space="preserve"> 10a</w:t>
      </w:r>
      <w:r w:rsidR="0000463A">
        <w:t xml:space="preserve"> Wet VPB 1969. Ook de valutawinst heeft zij</w:t>
      </w:r>
      <w:r w:rsidR="00D4670D">
        <w:t xml:space="preserve"> buiten beschouwing van de winst gelaten. Zij meent dat d</w:t>
      </w:r>
      <w:r w:rsidR="00276B27">
        <w:t>it</w:t>
      </w:r>
      <w:r w:rsidR="00D4670D">
        <w:t xml:space="preserve"> ook valt onder </w:t>
      </w:r>
      <w:r w:rsidR="00BD13CA">
        <w:t>art.</w:t>
      </w:r>
      <w:r w:rsidR="00D4670D">
        <w:t xml:space="preserve"> 10a </w:t>
      </w:r>
      <w:r w:rsidR="0000463A">
        <w:t xml:space="preserve">Wet </w:t>
      </w:r>
      <w:r w:rsidR="00D4670D">
        <w:t>VPB</w:t>
      </w:r>
      <w:r w:rsidR="0000463A">
        <w:t xml:space="preserve"> 1969</w:t>
      </w:r>
      <w:r w:rsidR="00D4670D">
        <w:t xml:space="preserve"> en daardoor</w:t>
      </w:r>
      <w:r w:rsidR="00276B27">
        <w:t>,</w:t>
      </w:r>
      <w:r w:rsidR="00D4670D">
        <w:t xml:space="preserve"> </w:t>
      </w:r>
      <w:r w:rsidR="0000463A">
        <w:t>evenals</w:t>
      </w:r>
      <w:r w:rsidR="00D4670D">
        <w:t xml:space="preserve"> de rentekosten</w:t>
      </w:r>
      <w:r w:rsidR="00276B27">
        <w:t>,</w:t>
      </w:r>
      <w:r w:rsidR="00D4670D">
        <w:t xml:space="preserve"> niet tot het resultaat gerekend kan worden. </w:t>
      </w:r>
      <w:r w:rsidR="00276B27">
        <w:t xml:space="preserve">De belastingplichtige meent dat naar de letter van de wet </w:t>
      </w:r>
      <w:r w:rsidR="00D4670D">
        <w:t>valutawinsten niet uitgesloten</w:t>
      </w:r>
      <w:r w:rsidR="00276B27">
        <w:t xml:space="preserve"> worden</w:t>
      </w:r>
      <w:r w:rsidR="00696A61">
        <w:t xml:space="preserve"> van de gevolgen van</w:t>
      </w:r>
      <w:r w:rsidR="00D4670D">
        <w:t xml:space="preserve"> art</w:t>
      </w:r>
      <w:r w:rsidR="00696A61">
        <w:t>.</w:t>
      </w:r>
      <w:r w:rsidR="00D4670D">
        <w:t xml:space="preserve"> 10a </w:t>
      </w:r>
      <w:r w:rsidR="0000463A">
        <w:t xml:space="preserve">Wet </w:t>
      </w:r>
      <w:r w:rsidR="00D4670D">
        <w:t>VPB</w:t>
      </w:r>
      <w:r w:rsidR="0000463A">
        <w:t xml:space="preserve"> 1969</w:t>
      </w:r>
      <w:r w:rsidR="00D4670D">
        <w:t>. Er staat immers ‘valutaresultaten’ welke alle resultaten behelst, zowel de positieve als negatieve. Echter</w:t>
      </w:r>
      <w:r w:rsidR="00276B27">
        <w:t>,</w:t>
      </w:r>
      <w:r w:rsidR="00D4670D">
        <w:t xml:space="preserve"> er staat ook ‘komen mede niet in aftrek’. Er staat niets over het volledig buiten de belastbare winst houden van valutaresultaten die betrekking hebben op een </w:t>
      </w:r>
      <w:r w:rsidR="00BD13CA">
        <w:t>art.</w:t>
      </w:r>
      <w:r w:rsidR="00D4670D">
        <w:t xml:space="preserve"> 10a Wet VPB 1969 lening. De inspecteur heeft dan ook een heel andere interpretatie van de wet dan de belanghebbende. Hij meent dat slechts de verliezen onder het artikel vallen en de eventuele winsten tot het resultaat dienen te worden</w:t>
      </w:r>
      <w:r w:rsidR="004A1E5B" w:rsidRPr="004A1E5B">
        <w:t xml:space="preserve"> </w:t>
      </w:r>
      <w:r w:rsidR="004A1E5B">
        <w:t>gerekend</w:t>
      </w:r>
      <w:r w:rsidR="004A1E5B">
        <w:rPr>
          <w:rStyle w:val="FootnoteReference"/>
        </w:rPr>
        <w:t xml:space="preserve"> </w:t>
      </w:r>
      <w:r w:rsidR="00D4670D">
        <w:rPr>
          <w:rStyle w:val="FootnoteReference"/>
        </w:rPr>
        <w:footnoteReference w:id="32"/>
      </w:r>
      <w:r w:rsidR="00D4670D">
        <w:t xml:space="preserve">. Het vrijstellen van het resultaat zal gezien de aard van de bepaling in strijd zijn met doel en strekking van de wet. Zoals eerder vermeld sluit ik mij aan bij de mening van de inspecteur als valutaresultaten een </w:t>
      </w:r>
      <w:r w:rsidR="00696A61">
        <w:t>(</w:t>
      </w:r>
      <w:r w:rsidR="00D4670D">
        <w:t>volledig</w:t>
      </w:r>
      <w:r w:rsidR="00696A61">
        <w:t>)</w:t>
      </w:r>
      <w:r w:rsidR="00D4670D">
        <w:t xml:space="preserve"> beïnvloedbare factor zijn. Deze uitvoering van de wet leidt tot een zeer nadelige situatie voor een belastingplichtige. Als zij valutawinsten maakt op een lening worden deze belast, maar als zij valuta verliezen maakt worden deze niet afgetrokken. De effectieve belastingdruk zal stijgen. </w:t>
      </w:r>
      <w:r w:rsidR="00C14E8C">
        <w:t>Dit kan aan de hand van een voorbeeld verduidelijkt worden.</w:t>
      </w:r>
      <w:r w:rsidR="00D4670D">
        <w:t xml:space="preserve"> Stel</w:t>
      </w:r>
      <w:r w:rsidR="00C14E8C">
        <w:t>,</w:t>
      </w:r>
      <w:r w:rsidR="00D4670D">
        <w:t xml:space="preserve"> er zijn twee periodes. In periode 1 is de bedrijfseconomische winst </w:t>
      </w:r>
      <w:r w:rsidR="004A1E5B">
        <w:t xml:space="preserve">EUR </w:t>
      </w:r>
      <w:r w:rsidR="00C14E8C">
        <w:t xml:space="preserve">100.000. Van deze winst is </w:t>
      </w:r>
      <w:proofErr w:type="gramStart"/>
      <w:r w:rsidR="00C14E8C">
        <w:t>reeds</w:t>
      </w:r>
      <w:proofErr w:type="gramEnd"/>
      <w:r w:rsidR="00C14E8C">
        <w:t xml:space="preserve"> een valutaverlies van EUR 10.000 afgetrokken. Dit verlies is ontstaan uit een lening met</w:t>
      </w:r>
      <w:r w:rsidR="004A1E5B">
        <w:t xml:space="preserve"> een besmette rechtshandeling, zoals bedoeld in art. 10a Wet VPB 1969</w:t>
      </w:r>
      <w:r w:rsidR="00D4670D">
        <w:t xml:space="preserve">. </w:t>
      </w:r>
      <w:r w:rsidR="00C14E8C">
        <w:t>Het</w:t>
      </w:r>
      <w:r w:rsidR="004A1E5B">
        <w:t xml:space="preserve"> </w:t>
      </w:r>
      <w:r w:rsidR="00C14E8C">
        <w:t>verlies</w:t>
      </w:r>
      <w:r w:rsidR="00D4670D">
        <w:t xml:space="preserve"> kan</w:t>
      </w:r>
      <w:r w:rsidR="00C14E8C">
        <w:t xml:space="preserve"> echter</w:t>
      </w:r>
      <w:r w:rsidR="00D4670D">
        <w:t xml:space="preserve"> niet afgetrokken worden van de belastbare winst, waardoor de</w:t>
      </w:r>
      <w:r w:rsidR="00D4670D" w:rsidRPr="00DB3D95">
        <w:t xml:space="preserve"> bedrijfseconomische winst </w:t>
      </w:r>
      <w:r w:rsidR="004A1E5B">
        <w:t xml:space="preserve">EUR </w:t>
      </w:r>
      <w:r w:rsidR="00D4670D">
        <w:t xml:space="preserve">10.000 lager is dan de belastbare winst </w:t>
      </w:r>
      <w:r w:rsidR="004A1E5B">
        <w:t xml:space="preserve">van EUR </w:t>
      </w:r>
      <w:r w:rsidR="00D4670D">
        <w:t xml:space="preserve">110.000. De belastingplichtige betaalt </w:t>
      </w:r>
      <w:r w:rsidR="004A1E5B">
        <w:t xml:space="preserve">in deze periode EUR </w:t>
      </w:r>
      <w:r w:rsidR="00D4670D">
        <w:t xml:space="preserve">110.000*0.25= </w:t>
      </w:r>
      <w:r w:rsidR="004A1E5B">
        <w:t xml:space="preserve">EUR </w:t>
      </w:r>
      <w:r w:rsidR="00D4670D">
        <w:t xml:space="preserve">27.500 vennootschapsbelasting. In periode 2 wordt een valutawinst gemaakt van </w:t>
      </w:r>
      <w:r w:rsidR="004A1E5B">
        <w:t xml:space="preserve">EUR </w:t>
      </w:r>
      <w:r w:rsidR="00D4670D">
        <w:t xml:space="preserve">5.000 en een </w:t>
      </w:r>
      <w:r w:rsidR="004A1E5B">
        <w:t xml:space="preserve">totale </w:t>
      </w:r>
      <w:r w:rsidR="00D4670D">
        <w:t xml:space="preserve">bedrijfseconomische winst van </w:t>
      </w:r>
      <w:r w:rsidR="004A1E5B">
        <w:t xml:space="preserve">EUR </w:t>
      </w:r>
      <w:r w:rsidR="00D4670D">
        <w:t>120.000. De aanslag</w:t>
      </w:r>
      <w:r w:rsidR="004A1E5B">
        <w:t xml:space="preserve"> in de tweede periode bedraagt EUR 120.000*0.25= EUR </w:t>
      </w:r>
      <w:r w:rsidR="00D4670D">
        <w:t xml:space="preserve">30.000. Het eerder gemaakte verlies kon niet afgetrokken worden van de belastbare winst. Daarbij </w:t>
      </w:r>
      <w:r w:rsidR="00991710">
        <w:rPr>
          <w:noProof/>
          <w:lang w:val="en-US"/>
        </w:rPr>
        <w:drawing>
          <wp:anchor distT="0" distB="0" distL="114300" distR="114300" simplePos="0" relativeHeight="251665408" behindDoc="0" locked="0" layoutInCell="1" allowOverlap="1">
            <wp:simplePos x="0" y="0"/>
            <wp:positionH relativeFrom="column">
              <wp:posOffset>14605</wp:posOffset>
            </wp:positionH>
            <wp:positionV relativeFrom="paragraph">
              <wp:posOffset>6901180</wp:posOffset>
            </wp:positionV>
            <wp:extent cx="3867150" cy="1466850"/>
            <wp:effectExtent l="19050" t="0" r="0" b="0"/>
            <wp:wrapSquare wrapText="bothSides"/>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3867150" cy="1466850"/>
                    </a:xfrm>
                    <a:prstGeom prst="rect">
                      <a:avLst/>
                    </a:prstGeom>
                    <a:noFill/>
                    <a:ln w="9525">
                      <a:noFill/>
                      <a:miter lim="800000"/>
                      <a:headEnd/>
                      <a:tailEnd/>
                    </a:ln>
                  </pic:spPr>
                </pic:pic>
              </a:graphicData>
            </a:graphic>
          </wp:anchor>
        </w:drawing>
      </w:r>
      <w:r w:rsidR="00D4670D">
        <w:t>is het ook niet mogelijk het te verrekenen met de valutawinst in de tweede periode. Over twee periodes gezien heeft de belastingplich</w:t>
      </w:r>
      <w:r w:rsidR="004A1E5B">
        <w:t xml:space="preserve">tige dus een </w:t>
      </w:r>
      <w:r w:rsidR="004A1E5B">
        <w:lastRenderedPageBreak/>
        <w:t xml:space="preserve">valutaverlies van EUR </w:t>
      </w:r>
      <w:r w:rsidR="00D4670D">
        <w:t>5.000 geleden. Echter zij is b</w:t>
      </w:r>
      <w:r w:rsidR="004A1E5B">
        <w:t xml:space="preserve">elast voor een valutawinst van EUR </w:t>
      </w:r>
      <w:r w:rsidR="00C14E8C">
        <w:t>5</w:t>
      </w:r>
      <w:r w:rsidR="00D4670D">
        <w:t>.000. De effectieve belastingdruk</w:t>
      </w:r>
      <w:r w:rsidR="008415B7">
        <w:t xml:space="preserve"> op het bedrijfsresultaat</w:t>
      </w:r>
      <w:r w:rsidR="00D4670D">
        <w:t xml:space="preserve"> </w:t>
      </w:r>
      <w:r w:rsidR="004A1E5B">
        <w:t xml:space="preserve">bedraagt </w:t>
      </w:r>
      <w:r>
        <w:t xml:space="preserve">26.2% </w:t>
      </w:r>
      <w:r w:rsidRPr="004A5962">
        <w:t>(Figuur 3).</w:t>
      </w:r>
      <w:r w:rsidR="00D4670D">
        <w:t xml:space="preserve"> </w:t>
      </w:r>
      <w:r w:rsidR="00C14E8C">
        <w:t>D</w:t>
      </w:r>
      <w:r w:rsidR="00D4670D">
        <w:t xml:space="preserve">eze interpretatie van de wetgeving </w:t>
      </w:r>
      <w:r w:rsidR="00C14E8C">
        <w:t xml:space="preserve">is </w:t>
      </w:r>
      <w:r w:rsidR="00D4670D">
        <w:t xml:space="preserve">zeer nadelig </w:t>
      </w:r>
      <w:r w:rsidR="00C14E8C">
        <w:t>voor de belastingplichtige</w:t>
      </w:r>
      <w:r w:rsidR="00D4670D">
        <w:t xml:space="preserve">. Echter, het is wel de intentie van de wetgever om op deze manier </w:t>
      </w:r>
      <w:r w:rsidR="00BD13CA">
        <w:t>art.</w:t>
      </w:r>
      <w:r w:rsidR="00D4670D">
        <w:t xml:space="preserve"> 10a Wet VPB 1969 uit te voeren</w:t>
      </w:r>
      <w:r w:rsidR="00D4670D">
        <w:rPr>
          <w:rStyle w:val="FootnoteReference"/>
        </w:rPr>
        <w:footnoteReference w:id="33"/>
      </w:r>
      <w:r w:rsidR="00D4670D">
        <w:t xml:space="preserve">. De Rechtbank sluit zich </w:t>
      </w:r>
      <w:r w:rsidR="00C14E8C">
        <w:t>niet aan bij de wetgever maar bij</w:t>
      </w:r>
      <w:r w:rsidR="00D4670D">
        <w:t xml:space="preserve"> de belanghebbende. Zij oordeelt dat “</w:t>
      </w:r>
      <w:r w:rsidR="00D4670D" w:rsidRPr="00925E5E">
        <w:t xml:space="preserve">het buiten aanmerking </w:t>
      </w:r>
      <w:r w:rsidR="00D4670D">
        <w:t xml:space="preserve">laten </w:t>
      </w:r>
      <w:r w:rsidR="00D4670D" w:rsidRPr="00925E5E">
        <w:t>van valutaresultaten op eigen vermogen niet gezien</w:t>
      </w:r>
      <w:r w:rsidR="00D4670D">
        <w:t xml:space="preserve"> kan</w:t>
      </w:r>
      <w:r w:rsidR="00D4670D" w:rsidRPr="00925E5E">
        <w:t xml:space="preserve"> worden als strijdig met het tegengaan van uitholling v</w:t>
      </w:r>
      <w:r w:rsidR="00D4670D">
        <w:t xml:space="preserve">an de </w:t>
      </w:r>
      <w:r w:rsidR="00D4670D" w:rsidRPr="00925E5E">
        <w:t>belastinggrondslag</w:t>
      </w:r>
      <w:r w:rsidR="00D4670D">
        <w:rPr>
          <w:rStyle w:val="FootnoteReference"/>
        </w:rPr>
        <w:footnoteReference w:id="34"/>
      </w:r>
      <w:r w:rsidR="00D4670D">
        <w:t>”</w:t>
      </w:r>
      <w:r w:rsidR="00D4670D" w:rsidRPr="00925E5E">
        <w:t>.</w:t>
      </w:r>
      <w:r w:rsidR="00D4670D">
        <w:t xml:space="preserve"> De Rechtbank sluit zich ook aan bij het standpunt van de belanghebbende, wat betreft de exacte tekst van de wet. Het woord ‘resultaten’ sluit valutawinsten niet uit. </w:t>
      </w:r>
    </w:p>
    <w:p w:rsidR="007D7A09" w:rsidRDefault="007D7A09" w:rsidP="00D4670D">
      <w:pPr>
        <w:pStyle w:val="NoSpacing"/>
        <w:spacing w:line="360" w:lineRule="auto"/>
      </w:pPr>
    </w:p>
    <w:p w:rsidR="00D4670D" w:rsidRDefault="00D4670D" w:rsidP="00D4670D">
      <w:pPr>
        <w:pStyle w:val="NoSpacing"/>
        <w:spacing w:line="360" w:lineRule="auto"/>
      </w:pPr>
      <w:r>
        <w:t>De Rechtbank meent dat v</w:t>
      </w:r>
      <w:r w:rsidRPr="00925E5E">
        <w:t>alutaresultaten</w:t>
      </w:r>
      <w:r>
        <w:t xml:space="preserve"> tot stand komen door </w:t>
      </w:r>
      <w:r w:rsidRPr="00925E5E">
        <w:t xml:space="preserve">onverwachte, niet te beïnvloeden gevolgen van het gebruik van verschillende valuta in het handelsverkeer. </w:t>
      </w:r>
      <w:r>
        <w:t>Een valutaresultaat, dat dus onverwacht gerealiseerd is, heeft volgens haar dan ook niets te maken met uitholling van de heffingsgrondslag. Dat valutaresultaten onvoorspelbaar zijn is volledig in strijd met het standpunt van de wetgever</w:t>
      </w:r>
      <w:r>
        <w:rPr>
          <w:rStyle w:val="FootnoteReference"/>
        </w:rPr>
        <w:footnoteReference w:id="35"/>
      </w:r>
      <w:r>
        <w:t>. De rechtbank gaat er</w:t>
      </w:r>
      <w:r w:rsidR="008415B7">
        <w:t xml:space="preserve"> </w:t>
      </w:r>
      <w:r>
        <w:t>van</w:t>
      </w:r>
      <w:r w:rsidR="001969EA">
        <w:t>u</w:t>
      </w:r>
      <w:r>
        <w:t>it dat valutaresultaten geen volledig beïnvl</w:t>
      </w:r>
      <w:r w:rsidR="00696A61">
        <w:t>oedbare factor zijn en behandelt</w:t>
      </w:r>
      <w:r>
        <w:t xml:space="preserve"> valutaresultaten, die tot stand komen bij een </w:t>
      </w:r>
      <w:r w:rsidR="00BD13CA">
        <w:t>art.</w:t>
      </w:r>
      <w:r>
        <w:t xml:space="preserve"> 10a Wet VPB 1969 lening, als eigen vermogen. De assumptie die ik eerder maakte word in feite door de rechtbank verworpen. Als valutaresultaten geen voorspelbare factor zijn, vervalt voor mij de onderbouwing voor de mening van de wetgever bij de interpretatie van onderliggende bepaling. </w:t>
      </w:r>
    </w:p>
    <w:p w:rsidR="00D4670D" w:rsidRDefault="00D4670D" w:rsidP="00D4670D">
      <w:pPr>
        <w:pStyle w:val="NoSpacing"/>
        <w:spacing w:line="360" w:lineRule="auto"/>
      </w:pPr>
    </w:p>
    <w:p w:rsidR="00D4670D" w:rsidRDefault="00D4670D" w:rsidP="00D4670D">
      <w:pPr>
        <w:pStyle w:val="NoSpacing"/>
        <w:spacing w:line="360" w:lineRule="auto"/>
      </w:pPr>
      <w:r>
        <w:t>Tegen de uitspraak van de Rechtbank is hoger beroep aangetekend. De inspecteur houdt zich vast aan zijn strikte interpretatie van de wet</w:t>
      </w:r>
      <w:r>
        <w:rPr>
          <w:rStyle w:val="FootnoteReference"/>
        </w:rPr>
        <w:footnoteReference w:id="36"/>
      </w:r>
      <w:r>
        <w:t>. De wetgever meent immers ook dat dit de juiste toepassing is</w:t>
      </w:r>
      <w:r>
        <w:rPr>
          <w:rStyle w:val="FootnoteReference"/>
        </w:rPr>
        <w:footnoteReference w:id="37"/>
      </w:r>
      <w:r>
        <w:t>. Haar redenering daarbij is dat art</w:t>
      </w:r>
      <w:r w:rsidR="00696A61">
        <w:t>.</w:t>
      </w:r>
      <w:r>
        <w:t xml:space="preserve"> 10a </w:t>
      </w:r>
      <w:r w:rsidR="00696A61">
        <w:t xml:space="preserve">Wet VPB 1969 </w:t>
      </w:r>
      <w:r>
        <w:t xml:space="preserve">een antimisbruik bepaling is en het niet past in de strekking van de wet om positieve valutaresultaten vrij te stellen van belastingheffing. In hoger beroep heeft het Hof van Amsterdam als volgt geoordeeld: </w:t>
      </w:r>
    </w:p>
    <w:p w:rsidR="00D4670D" w:rsidRPr="005C7179" w:rsidRDefault="00D4670D" w:rsidP="00D4670D">
      <w:pPr>
        <w:pStyle w:val="NoSpacing"/>
        <w:spacing w:line="360" w:lineRule="auto"/>
        <w:rPr>
          <w:i/>
        </w:rPr>
      </w:pPr>
      <w:r w:rsidRPr="005C7179">
        <w:rPr>
          <w:i/>
        </w:rPr>
        <w:t xml:space="preserve">“Een redelijke uitleg van art. 10a, tweede lid, aanhef van de Wet </w:t>
      </w:r>
      <w:proofErr w:type="spellStart"/>
      <w:r w:rsidRPr="005C7179">
        <w:rPr>
          <w:i/>
        </w:rPr>
        <w:t>Vpb</w:t>
      </w:r>
      <w:proofErr w:type="spellEnd"/>
      <w:r w:rsidRPr="005C7179">
        <w:rPr>
          <w:i/>
        </w:rPr>
        <w:t xml:space="preserve"> houdt naar het oordeel van het Hof in dat daarbij ook met een positief valutaresultaat rekening wordt gehouden, voor zover dit in het desbetreffende jaar niet hoger is dan de verschuldigde rente en/of een negatief valutaresultaat </w:t>
      </w:r>
      <w:proofErr w:type="gramStart"/>
      <w:r w:rsidRPr="005C7179">
        <w:rPr>
          <w:i/>
        </w:rPr>
        <w:t>ter zake</w:t>
      </w:r>
      <w:proofErr w:type="gramEnd"/>
      <w:r w:rsidRPr="005C7179">
        <w:rPr>
          <w:i/>
        </w:rPr>
        <w:t xml:space="preserve"> van de desbetreffende lening.</w:t>
      </w:r>
      <w:r>
        <w:rPr>
          <w:rStyle w:val="FootnoteReference"/>
          <w:i/>
        </w:rPr>
        <w:footnoteReference w:id="38"/>
      </w:r>
      <w:r w:rsidRPr="005C7179">
        <w:rPr>
          <w:i/>
        </w:rPr>
        <w:t>”</w:t>
      </w:r>
    </w:p>
    <w:p w:rsidR="00D4670D" w:rsidRDefault="00D4670D" w:rsidP="00D4670D">
      <w:pPr>
        <w:pStyle w:val="NoSpacing"/>
        <w:spacing w:line="360" w:lineRule="auto"/>
      </w:pPr>
      <w:r>
        <w:lastRenderedPageBreak/>
        <w:t>Het hof heeft beslist dat</w:t>
      </w:r>
      <w:r w:rsidRPr="006233E2">
        <w:rPr>
          <w:rFonts w:ascii="Arial Unicode MS" w:eastAsia="Arial Unicode MS" w:hAnsi="Arial Unicode MS" w:cs="Arial Unicode MS"/>
          <w:color w:val="333333"/>
          <w:sz w:val="18"/>
          <w:szCs w:val="18"/>
          <w:lang w:eastAsia="nl-NL"/>
        </w:rPr>
        <w:t xml:space="preserve"> </w:t>
      </w:r>
      <w:r w:rsidRPr="006233E2">
        <w:t xml:space="preserve">valutawinst op een besmette lening slechts </w:t>
      </w:r>
      <w:r w:rsidR="00696A61">
        <w:t xml:space="preserve">voor een deel </w:t>
      </w:r>
      <w:r w:rsidRPr="006233E2">
        <w:t>buiten de winst blijft</w:t>
      </w:r>
      <w:r w:rsidR="00696A61">
        <w:t xml:space="preserve">. Dit deel is </w:t>
      </w:r>
      <w:r w:rsidRPr="006233E2">
        <w:t>voor zover zij de niet-aftrekbare rente, kosten en valutaverliezen op de desbetreffende lening niet overstijgt.</w:t>
      </w:r>
      <w:r w:rsidR="004A1E5B">
        <w:t xml:space="preserve"> </w:t>
      </w:r>
      <w:r>
        <w:t xml:space="preserve">Op deze manier zijn de gevolgen van artikel 10a VPB voor de belastingplichtige ingeperkt. Echter alle valutawinsten groter dan de rentelast worden nog steeds tot de belastbare winst gerekend. </w:t>
      </w:r>
      <w:r w:rsidR="004A1E5B">
        <w:t>Na deze uitspraak</w:t>
      </w:r>
      <w:r>
        <w:t xml:space="preserve"> is er cassatie beroep ingesteld</w:t>
      </w:r>
      <w:r w:rsidR="00696A61">
        <w:t>, door zowel de belastingplichtige als de Staatssecretaris</w:t>
      </w:r>
      <w:r>
        <w:rPr>
          <w:rStyle w:val="FootnoteReference"/>
        </w:rPr>
        <w:footnoteReference w:id="39"/>
      </w:r>
      <w:r w:rsidR="004A1E5B">
        <w:t xml:space="preserve">. Er zijn al vele meningen gegeven over de juiste interpretatie van art. 10a Wet VPB 1969. Een van deze </w:t>
      </w:r>
      <w:r>
        <w:t>meningen is die van Advocaat Generaal Wattel. Hij schrijft in zijn conclusie</w:t>
      </w:r>
      <w:r>
        <w:rPr>
          <w:rStyle w:val="FootnoteReference"/>
        </w:rPr>
        <w:footnoteReference w:id="40"/>
      </w:r>
      <w:r>
        <w:t xml:space="preserve"> dat de wet met betrekking tot de behandeling van valutaresultaten op vier manieren kunnen toepassen. </w:t>
      </w:r>
    </w:p>
    <w:p w:rsidR="00D4670D" w:rsidRDefault="00D4670D" w:rsidP="00D4670D">
      <w:pPr>
        <w:pStyle w:val="NoSpacing"/>
        <w:spacing w:line="360" w:lineRule="auto"/>
      </w:pPr>
    </w:p>
    <w:p w:rsidR="00D4670D" w:rsidRPr="001449D3" w:rsidRDefault="00D4670D" w:rsidP="00D4670D">
      <w:pPr>
        <w:pStyle w:val="NoSpacing"/>
        <w:spacing w:line="360" w:lineRule="auto"/>
        <w:rPr>
          <w:i/>
        </w:rPr>
      </w:pPr>
      <w:proofErr w:type="gramStart"/>
      <w:r>
        <w:rPr>
          <w:i/>
        </w:rPr>
        <w:t>“</w:t>
      </w:r>
      <w:r w:rsidRPr="00921AD3">
        <w:rPr>
          <w:i/>
        </w:rPr>
        <w:t xml:space="preserve"> (i) </w:t>
      </w:r>
      <w:r w:rsidRPr="001449D3">
        <w:rPr>
          <w:i/>
        </w:rPr>
        <w:t xml:space="preserve">die van de fiscus: valutaverliezen op de besmette schuld zijn niet aftrekbaar; valutawinsten zijn volledig belast; </w:t>
      </w:r>
      <w:proofErr w:type="gramEnd"/>
    </w:p>
    <w:p w:rsidR="00D4670D" w:rsidRDefault="00D4670D" w:rsidP="00D4670D">
      <w:pPr>
        <w:pStyle w:val="NoSpacing"/>
        <w:spacing w:line="360" w:lineRule="auto"/>
        <w:rPr>
          <w:i/>
        </w:rPr>
      </w:pPr>
      <w:proofErr w:type="gramStart"/>
      <w:r w:rsidRPr="00921AD3">
        <w:rPr>
          <w:i/>
        </w:rPr>
        <w:t>(</w:t>
      </w:r>
      <w:proofErr w:type="spellStart"/>
      <w:r w:rsidRPr="00921AD3">
        <w:rPr>
          <w:i/>
        </w:rPr>
        <w:t>ii</w:t>
      </w:r>
      <w:proofErr w:type="spellEnd"/>
      <w:r w:rsidRPr="00921AD3">
        <w:rPr>
          <w:i/>
        </w:rPr>
        <w:t xml:space="preserve">) die van de belanghebbende en van de Rechtbank: valutaverliezen zijn niet aftrekbaar; valutawinsten zijn niet belast; </w:t>
      </w:r>
      <w:proofErr w:type="gramEnd"/>
    </w:p>
    <w:p w:rsidR="00D4670D" w:rsidRDefault="00D4670D" w:rsidP="00D4670D">
      <w:pPr>
        <w:pStyle w:val="NoSpacing"/>
        <w:spacing w:line="360" w:lineRule="auto"/>
        <w:rPr>
          <w:i/>
        </w:rPr>
      </w:pPr>
      <w:r w:rsidRPr="00921AD3">
        <w:rPr>
          <w:i/>
        </w:rPr>
        <w:t>(</w:t>
      </w:r>
      <w:proofErr w:type="spellStart"/>
      <w:r w:rsidRPr="00921AD3">
        <w:rPr>
          <w:i/>
        </w:rPr>
        <w:t>iii</w:t>
      </w:r>
      <w:proofErr w:type="spellEnd"/>
      <w:r w:rsidRPr="00921AD3">
        <w:rPr>
          <w:i/>
        </w:rPr>
        <w:t xml:space="preserve">) valutawinsten worden - </w:t>
      </w:r>
      <w:proofErr w:type="spellStart"/>
      <w:r w:rsidRPr="00921AD3">
        <w:rPr>
          <w:i/>
        </w:rPr>
        <w:t>binnensjaars</w:t>
      </w:r>
      <w:proofErr w:type="spellEnd"/>
      <w:r w:rsidRPr="00921AD3">
        <w:rPr>
          <w:i/>
        </w:rPr>
        <w:t xml:space="preserve"> - verrekend met valutaverliezen (per schuld of overall); </w:t>
      </w:r>
    </w:p>
    <w:p w:rsidR="00D4670D" w:rsidRPr="00456F41" w:rsidRDefault="00D4670D" w:rsidP="00D4670D">
      <w:pPr>
        <w:pStyle w:val="NoSpacing"/>
        <w:spacing w:line="360" w:lineRule="auto"/>
        <w:rPr>
          <w:i/>
        </w:rPr>
      </w:pPr>
      <w:proofErr w:type="gramStart"/>
      <w:r w:rsidRPr="00921AD3">
        <w:rPr>
          <w:i/>
        </w:rPr>
        <w:t>(</w:t>
      </w:r>
      <w:proofErr w:type="spellStart"/>
      <w:r w:rsidRPr="00921AD3">
        <w:rPr>
          <w:i/>
        </w:rPr>
        <w:t>iv</w:t>
      </w:r>
      <w:proofErr w:type="spellEnd"/>
      <w:r w:rsidRPr="00921AD3">
        <w:rPr>
          <w:i/>
        </w:rPr>
        <w:t xml:space="preserve">) die van het Hof: valutawinsten worden - </w:t>
      </w:r>
      <w:proofErr w:type="spellStart"/>
      <w:r w:rsidRPr="00921AD3">
        <w:rPr>
          <w:i/>
        </w:rPr>
        <w:t>binnensjaars</w:t>
      </w:r>
      <w:proofErr w:type="spellEnd"/>
      <w:r w:rsidRPr="00921AD3">
        <w:rPr>
          <w:i/>
        </w:rPr>
        <w:t xml:space="preserve"> - verrekend met de niet-aftrekbare rente, kosten en valutaverliezen (per schuld of overall; het Hof kiest kennelijk voor: per schuld)</w:t>
      </w:r>
      <w:r>
        <w:rPr>
          <w:i/>
        </w:rPr>
        <w:t>”</w:t>
      </w:r>
      <w:r>
        <w:rPr>
          <w:rStyle w:val="FootnoteReference"/>
          <w:i/>
        </w:rPr>
        <w:footnoteReference w:id="41"/>
      </w:r>
      <w:r w:rsidRPr="00921AD3">
        <w:rPr>
          <w:i/>
        </w:rPr>
        <w:t>.</w:t>
      </w:r>
      <w:proofErr w:type="gramEnd"/>
    </w:p>
    <w:p w:rsidR="00D4670D" w:rsidRDefault="00D4670D" w:rsidP="00D4670D">
      <w:pPr>
        <w:pStyle w:val="NoSpacing"/>
        <w:spacing w:line="360" w:lineRule="auto"/>
      </w:pPr>
    </w:p>
    <w:p w:rsidR="00D4670D" w:rsidRDefault="00D4670D" w:rsidP="00D4670D">
      <w:pPr>
        <w:pStyle w:val="NoSpacing"/>
        <w:spacing w:line="360" w:lineRule="auto"/>
      </w:pPr>
      <w:r>
        <w:t xml:space="preserve">Alle opties hebben uiteraard gevolgen. Als de Hoge Raad kiest voor optie (i), dan zullen we in een situatie komen waarbij er </w:t>
      </w:r>
      <w:r w:rsidRPr="001449D3">
        <w:t xml:space="preserve">sprake is </w:t>
      </w:r>
      <w:r w:rsidR="00274243">
        <w:t xml:space="preserve">van </w:t>
      </w:r>
      <w:r w:rsidRPr="001449D3">
        <w:t>dubbele belasting en overkill.</w:t>
      </w:r>
      <w:r>
        <w:t xml:space="preserve"> Dit is al eerder beschreven (</w:t>
      </w:r>
      <w:r w:rsidR="00656458" w:rsidRPr="00656458">
        <w:t>Figuur 3</w:t>
      </w:r>
      <w:r>
        <w:t>). Met optie (</w:t>
      </w:r>
      <w:proofErr w:type="spellStart"/>
      <w:r>
        <w:t>ii</w:t>
      </w:r>
      <w:proofErr w:type="spellEnd"/>
      <w:r>
        <w:t xml:space="preserve">) word een situatie gecreëerd waarin er een vrijstelling voor winst ontstaat, die voortkomt uit een antimisbruikbepaling, welke aftrekbaarheid van kosten uitsluit. Dit is in strijd met doel en strekking van de wet. Wattel meent dat de wetgever dit nooit bedoeld kan hebben toen de wet </w:t>
      </w:r>
      <w:r w:rsidR="001969EA">
        <w:t>opgesteld</w:t>
      </w:r>
      <w:r>
        <w:t xml:space="preserve"> werd. Verder concludeert hij dat het naar de letter van de tekst gaat om uitsluiting van aftrek van een saldo. Welk saldo is echter onbekend. Wattel sluit zich aan bij het Hof Amsterdam en meent dat optie (</w:t>
      </w:r>
      <w:proofErr w:type="spellStart"/>
      <w:r>
        <w:t>iv</w:t>
      </w:r>
      <w:proofErr w:type="spellEnd"/>
      <w:r>
        <w:t xml:space="preserve">) de juiste is. Er is tot op heden nog geen arrest gewezen door de Hoge raad. </w:t>
      </w:r>
    </w:p>
    <w:p w:rsidR="00D4670D" w:rsidRDefault="00D4670D" w:rsidP="00D4670D">
      <w:pPr>
        <w:autoSpaceDE w:val="0"/>
        <w:autoSpaceDN w:val="0"/>
        <w:adjustRightInd w:val="0"/>
        <w:spacing w:after="0" w:line="360" w:lineRule="auto"/>
      </w:pPr>
      <w:r>
        <w:t>Niet alleen Wattel heeft een mening geven betreffende deze problematiek</w:t>
      </w:r>
      <w:r w:rsidR="00274243">
        <w:t xml:space="preserve"> gegeven</w:t>
      </w:r>
      <w:r>
        <w:t xml:space="preserve">. Ook van </w:t>
      </w:r>
      <w:proofErr w:type="spellStart"/>
      <w:r>
        <w:t>Strien</w:t>
      </w:r>
      <w:proofErr w:type="spellEnd"/>
      <w:r>
        <w:rPr>
          <w:rStyle w:val="FootnoteReference"/>
        </w:rPr>
        <w:footnoteReference w:id="42"/>
      </w:r>
      <w:r>
        <w:t xml:space="preserve"> en </w:t>
      </w:r>
      <w:proofErr w:type="spellStart"/>
      <w:r>
        <w:t>Bouwman</w:t>
      </w:r>
      <w:proofErr w:type="spellEnd"/>
      <w:r>
        <w:rPr>
          <w:rStyle w:val="FootnoteReference"/>
        </w:rPr>
        <w:footnoteReference w:id="43"/>
      </w:r>
      <w:r>
        <w:t xml:space="preserve"> hebben hun mening gegeven. </w:t>
      </w:r>
      <w:proofErr w:type="spellStart"/>
      <w:r>
        <w:t>Bouwman</w:t>
      </w:r>
      <w:proofErr w:type="spellEnd"/>
      <w:r>
        <w:t xml:space="preserve"> sluit zich aan bij de belastingplichtige en de </w:t>
      </w:r>
      <w:r w:rsidR="00696A61">
        <w:t>Rechtbank</w:t>
      </w:r>
      <w:r>
        <w:t xml:space="preserve"> geno</w:t>
      </w:r>
      <w:r w:rsidR="004A5962">
        <w:t xml:space="preserve">emd in het bovenstaand arrest. </w:t>
      </w:r>
      <w:r>
        <w:t xml:space="preserve">Hij is van mening dat positieve valutaresultaten niet tot het belastbare inkomen gerekend moeten worden. Valutaresultaten binnen de onderhavige </w:t>
      </w:r>
      <w:r>
        <w:lastRenderedPageBreak/>
        <w:t xml:space="preserve">bepaling dienen als eigen vermogen behandeld te worden. Van </w:t>
      </w:r>
      <w:proofErr w:type="spellStart"/>
      <w:r>
        <w:t>Strien</w:t>
      </w:r>
      <w:proofErr w:type="spellEnd"/>
      <w:r>
        <w:t xml:space="preserve"> stelt een </w:t>
      </w:r>
      <w:proofErr w:type="spellStart"/>
      <w:r>
        <w:t>salderingsmethode</w:t>
      </w:r>
      <w:proofErr w:type="spellEnd"/>
      <w:r>
        <w:t xml:space="preserve"> voor. Kosten en winsten kunnen gesaldeerd worden. Hier kan een eventuele beperking worden ingebouwd waardoor het niet mogelijk is dat het saldi leidt tot een aftrekbaar verlies.</w:t>
      </w:r>
    </w:p>
    <w:p w:rsidR="00D4670D" w:rsidRDefault="00D4670D" w:rsidP="00D4670D">
      <w:pPr>
        <w:autoSpaceDE w:val="0"/>
        <w:autoSpaceDN w:val="0"/>
        <w:adjustRightInd w:val="0"/>
        <w:spacing w:after="0" w:line="360" w:lineRule="auto"/>
      </w:pPr>
    </w:p>
    <w:p w:rsidR="00D4670D" w:rsidRPr="00A969B7" w:rsidRDefault="00D4670D" w:rsidP="00D4670D">
      <w:pPr>
        <w:autoSpaceDE w:val="0"/>
        <w:autoSpaceDN w:val="0"/>
        <w:adjustRightInd w:val="0"/>
        <w:spacing w:after="0" w:line="360" w:lineRule="auto"/>
      </w:pPr>
      <w:r>
        <w:t xml:space="preserve">Er zijn dus verschillende meningen betreffende de behandeling van valutaresultaten in </w:t>
      </w:r>
      <w:r w:rsidR="00BD13CA">
        <w:t>art.</w:t>
      </w:r>
      <w:r>
        <w:t xml:space="preserve"> 10a Wet VPB 1969. </w:t>
      </w:r>
      <w:r w:rsidR="00696A61">
        <w:t>De Rechtbank en het Hof hebben geoordeeld alsof valutaresultaten geen</w:t>
      </w:r>
      <w:r>
        <w:t xml:space="preserve"> volledig beïnvloedbare factor zijn en misbruik is dan ook niet mogelijk</w:t>
      </w:r>
      <w:r w:rsidR="00696A61">
        <w:t xml:space="preserve"> maakt</w:t>
      </w:r>
      <w:r>
        <w:t xml:space="preserve">. Men kent immers de uitkomst niet. </w:t>
      </w:r>
      <w:r w:rsidR="00696A61">
        <w:t>Als</w:t>
      </w:r>
      <w:r>
        <w:t xml:space="preserve"> de door mij eerder gedane assumptie </w:t>
      </w:r>
      <w:r w:rsidR="00696A61">
        <w:t>op deze manier wordt</w:t>
      </w:r>
      <w:r>
        <w:t xml:space="preserve"> verworpen, kan ik </w:t>
      </w:r>
      <w:r w:rsidR="007562D0">
        <w:t xml:space="preserve">geen gerechtvaardigde onderbouwing </w:t>
      </w:r>
      <w:r>
        <w:t>mee</w:t>
      </w:r>
      <w:r w:rsidR="007562D0">
        <w:t>r vinden</w:t>
      </w:r>
      <w:r>
        <w:t xml:space="preserve"> voor de strikte toepassing die de wetgever </w:t>
      </w:r>
      <w:r w:rsidR="007562D0">
        <w:t>voor ogen heeft</w:t>
      </w:r>
      <w:r>
        <w:t xml:space="preserve">. Of de oplossing van </w:t>
      </w:r>
      <w:proofErr w:type="spellStart"/>
      <w:r>
        <w:t>Wattel</w:t>
      </w:r>
      <w:proofErr w:type="spellEnd"/>
      <w:r>
        <w:t xml:space="preserve">, van </w:t>
      </w:r>
      <w:proofErr w:type="spellStart"/>
      <w:r>
        <w:t>Strien</w:t>
      </w:r>
      <w:proofErr w:type="spellEnd"/>
      <w:r>
        <w:t xml:space="preserve"> of </w:t>
      </w:r>
      <w:proofErr w:type="spellStart"/>
      <w:r>
        <w:t>Bouwhuis</w:t>
      </w:r>
      <w:proofErr w:type="spellEnd"/>
      <w:r>
        <w:t xml:space="preserve"> juist is, is in dit stadium nog niet te bepalen</w:t>
      </w:r>
      <w:r w:rsidRPr="00A969B7">
        <w:t xml:space="preserve">. Ik denk dat het noodzakelijk is om het karakter van valutaresultaten nader te bepalen. Vervolgens moet de voorspelbaarheid van resultaten bepaald worden. Hiervoor zal ik in hoofdstuk </w:t>
      </w:r>
      <w:r w:rsidR="00A969B7">
        <w:t>4</w:t>
      </w:r>
      <w:r w:rsidRPr="00A969B7">
        <w:t xml:space="preserve"> een link leggen tussen de hoogte van de rente en de verandering in de koers van valuta. Zoals eerder vermeld is dit de rentepariteit. </w:t>
      </w:r>
    </w:p>
    <w:p w:rsidR="00BD6EA6" w:rsidRDefault="00BD6EA6" w:rsidP="00751820">
      <w:pPr>
        <w:pStyle w:val="Heading2"/>
        <w:numPr>
          <w:ilvl w:val="1"/>
          <w:numId w:val="4"/>
        </w:numPr>
      </w:pPr>
      <w:bookmarkStart w:id="11" w:name="_Toc298503286"/>
      <w:bookmarkStart w:id="12" w:name="_Toc299359016"/>
      <w:r>
        <w:t>Verschillende componenten binnen het valutaresultaat</w:t>
      </w:r>
      <w:bookmarkEnd w:id="11"/>
      <w:bookmarkEnd w:id="12"/>
      <w:r>
        <w:t xml:space="preserve"> </w:t>
      </w:r>
    </w:p>
    <w:p w:rsidR="001F720B" w:rsidRDefault="004A1E5B" w:rsidP="001F720B">
      <w:pPr>
        <w:pStyle w:val="NoSpacing"/>
        <w:spacing w:line="360" w:lineRule="auto"/>
      </w:pPr>
      <w:r>
        <w:t>In voorgaande paragrafen</w:t>
      </w:r>
      <w:r w:rsidR="001F720B">
        <w:t xml:space="preserve"> hebben we gezien wat ar</w:t>
      </w:r>
      <w:r w:rsidR="00BD13CA">
        <w:t xml:space="preserve">t. </w:t>
      </w:r>
      <w:r w:rsidR="001F720B">
        <w:t>10a</w:t>
      </w:r>
      <w:r w:rsidR="00BD13CA">
        <w:t xml:space="preserve"> Wet VPB 1969</w:t>
      </w:r>
      <w:r w:rsidR="001F720B">
        <w:t xml:space="preserve"> i</w:t>
      </w:r>
      <w:r w:rsidR="00274243">
        <w:t>s, en hoe het</w:t>
      </w:r>
      <w:r w:rsidR="001F720B">
        <w:t xml:space="preserve"> ontstaan is. Vervolgens is de focus verschoven naar de valutaresultaten binnen de bepaling. Bij het invoegen van het woordje valutaresultaten in de wet heeft de wetgever zich hoogstwaarschijnlijk</w:t>
      </w:r>
      <w:r w:rsidR="001969EA">
        <w:t xml:space="preserve"> </w:t>
      </w:r>
      <w:r w:rsidR="001F720B">
        <w:t>gebaseerd op de rentepariteit</w:t>
      </w:r>
      <w:r w:rsidR="001969EA">
        <w:rPr>
          <w:rStyle w:val="FootnoteReference"/>
        </w:rPr>
        <w:footnoteReference w:id="44"/>
      </w:r>
      <w:r w:rsidR="001F720B">
        <w:t xml:space="preserve">. Het is moeilijk om te bepalen hoe de valutaresultaten dan betrokken moeten worden in </w:t>
      </w:r>
      <w:r w:rsidR="00BD13CA">
        <w:t>art.</w:t>
      </w:r>
      <w:r w:rsidR="001F720B">
        <w:t xml:space="preserve"> 10a Wet VPB 1969. Vallen alleen de verliezen onder de bepaling, of ook de winsten? De Rechtbank, het Hof en de wetgever hebben ieder een verschillende opvatting hierover. Binnen deze discussie is door Wattel conclusie gewezen. Hij sluit zich aan bij het oordeel van het Hof en meent dat valutaresultaten slecht</w:t>
      </w:r>
      <w:r w:rsidR="00751820">
        <w:t>s</w:t>
      </w:r>
      <w:r w:rsidR="001F720B">
        <w:t xml:space="preserve"> voor het deel dat het de rentekosten, valutaverliezen en overige kosten overschrijd in de winst van de onderneming moet worden betrokken. </w:t>
      </w:r>
    </w:p>
    <w:p w:rsidR="001F720B" w:rsidRDefault="001F720B" w:rsidP="001F720B">
      <w:pPr>
        <w:pStyle w:val="NoSpacing"/>
        <w:spacing w:line="360" w:lineRule="auto"/>
      </w:pPr>
      <w:r>
        <w:t xml:space="preserve">De volgende stap in de valutaproblematiek is </w:t>
      </w:r>
      <w:r w:rsidR="004A1E5B">
        <w:t>de vraag of valutaverliezen eigenlijk wel</w:t>
      </w:r>
      <w:r>
        <w:t xml:space="preserve"> betrokken</w:t>
      </w:r>
      <w:r w:rsidR="004A1E5B">
        <w:t xml:space="preserve"> moeten</w:t>
      </w:r>
      <w:r>
        <w:t xml:space="preserve"> worden in </w:t>
      </w:r>
      <w:r w:rsidR="00BD13CA">
        <w:t>art.</w:t>
      </w:r>
      <w:r>
        <w:t xml:space="preserve"> 10a Wet VPB</w:t>
      </w:r>
      <w:r w:rsidR="004A1E5B">
        <w:t xml:space="preserve"> 1969</w:t>
      </w:r>
      <w:r>
        <w:t>? Het is namelijk niet duidelijk of met valutaresultaten misbruik gepleegd kan worden. In zijn conclusie heeft Wattel</w:t>
      </w:r>
      <w:r>
        <w:rPr>
          <w:rStyle w:val="FootnoteReference"/>
        </w:rPr>
        <w:footnoteReference w:id="45"/>
      </w:r>
      <w:r>
        <w:t xml:space="preserve"> geschreven dat er een verband bestaat tussen de hoogte van de rente en de toekomstige wisselkoers. In dit arrest</w:t>
      </w:r>
      <w:r w:rsidR="007562D0">
        <w:rPr>
          <w:rStyle w:val="FootnoteReference"/>
        </w:rPr>
        <w:footnoteReference w:id="46"/>
      </w:r>
      <w:r>
        <w:t xml:space="preserve"> was het de vraag of valutaresultaten een zelfstandig component zijn of als kosten behandeld moeten worden</w:t>
      </w:r>
      <w:r w:rsidR="007D7A09">
        <w:t xml:space="preserve">. Betreffende dit arrest </w:t>
      </w:r>
      <w:r>
        <w:t xml:space="preserve">heeft Wattel zijn conclusie </w:t>
      </w:r>
      <w:r w:rsidR="001969EA">
        <w:t>gewezen</w:t>
      </w:r>
      <w:r>
        <w:t xml:space="preserve">. </w:t>
      </w:r>
    </w:p>
    <w:p w:rsidR="001F720B" w:rsidRDefault="001F720B" w:rsidP="001F720B">
      <w:pPr>
        <w:pStyle w:val="NoSpacing"/>
        <w:spacing w:line="360" w:lineRule="auto"/>
      </w:pPr>
      <w:r>
        <w:t>Het betrof een zaak waarin belastingplichtige</w:t>
      </w:r>
      <w:r w:rsidR="00751820">
        <w:t xml:space="preserve"> X BV</w:t>
      </w:r>
      <w:r>
        <w:t xml:space="preserve"> vennootschap aan </w:t>
      </w:r>
      <w:r w:rsidR="00751820">
        <w:t>het</w:t>
      </w:r>
      <w:r>
        <w:t xml:space="preserve"> met haar verbonden lichaa</w:t>
      </w:r>
      <w:r w:rsidR="001969EA">
        <w:t>m C S.A., gevestigd te Brazilië, een lening verstrekte.</w:t>
      </w:r>
      <w:r w:rsidR="00751820">
        <w:t xml:space="preserve"> X BV </w:t>
      </w:r>
      <w:r>
        <w:t xml:space="preserve">functioneerde als een </w:t>
      </w:r>
      <w:r>
        <w:lastRenderedPageBreak/>
        <w:t xml:space="preserve">groepsfinancieringsmaatschappij binnen </w:t>
      </w:r>
      <w:r w:rsidR="00751820">
        <w:t xml:space="preserve">concern </w:t>
      </w:r>
      <w:r>
        <w:t xml:space="preserve">A. Daarbij heeft zij een aantal leningen overgenomen die door een ander gelieerd lichaam aan C SA waren verstrekt. </w:t>
      </w:r>
      <w:r w:rsidRPr="00846864">
        <w:t xml:space="preserve">Al deze leningen luiden in Amerikaanse dollars dan wel in euro's. </w:t>
      </w:r>
      <w:r>
        <w:t xml:space="preserve">X BV heeft in haar belastingaangifte een bedrag van ruim </w:t>
      </w:r>
      <w:r w:rsidR="007D7A09">
        <w:t>EUR 68 miljoen</w:t>
      </w:r>
      <w:r>
        <w:t xml:space="preserve"> aangegeven als interestopbrengsten uit Brazilië. Daarbij heeft zij ruim </w:t>
      </w:r>
      <w:r w:rsidR="007D7A09">
        <w:t>EUR 52 miljoen</w:t>
      </w:r>
      <w:r>
        <w:t xml:space="preserve"> aangegeven als bijhorende kosten. D</w:t>
      </w:r>
      <w:r w:rsidR="00751820">
        <w:t>eze bestonden onder andere uit i</w:t>
      </w:r>
      <w:r>
        <w:t xml:space="preserve">nterestkosten en een koersverlies van </w:t>
      </w:r>
      <w:r w:rsidR="007D7A09">
        <w:t>EUR 33 miljoen</w:t>
      </w:r>
      <w:r>
        <w:t>. Op de door C betaalde rente van</w:t>
      </w:r>
      <w:r w:rsidR="007D7A09">
        <w:t xml:space="preserve"> EUR 68 miljoen</w:t>
      </w:r>
      <w:r>
        <w:t xml:space="preserve"> is 15% bronbelasting ingehouden.</w:t>
      </w:r>
    </w:p>
    <w:p w:rsidR="00531E55" w:rsidRDefault="001F720B" w:rsidP="001F720B">
      <w:pPr>
        <w:pStyle w:val="NoSpacing"/>
        <w:spacing w:line="360" w:lineRule="auto"/>
      </w:pPr>
      <w:r>
        <w:t>Wat belangrijk is in dit arrest</w:t>
      </w:r>
      <w:r w:rsidR="00751820">
        <w:t>,</w:t>
      </w:r>
      <w:r>
        <w:t xml:space="preserve"> is de discussie over valutaresultaten. De Rechtbank, het Hof en in principe ook Wattel concluderen dat “</w:t>
      </w:r>
      <w:r w:rsidR="00751820">
        <w:t xml:space="preserve">valutaverlies niet als </w:t>
      </w:r>
      <w:proofErr w:type="gramStart"/>
      <w:r w:rsidR="00751820">
        <w:t>‘</w:t>
      </w:r>
      <w:proofErr w:type="gramEnd"/>
      <w:r w:rsidRPr="005610F6">
        <w:t>kosten</w:t>
      </w:r>
      <w:r w:rsidR="00751820">
        <w:t>’</w:t>
      </w:r>
      <w:r w:rsidRPr="005610F6">
        <w:t xml:space="preserve"> in de zin van art. 36</w:t>
      </w:r>
      <w:r w:rsidR="00DD3215">
        <w:t xml:space="preserve"> vierde lid</w:t>
      </w:r>
      <w:r w:rsidRPr="005610F6">
        <w:t xml:space="preserve"> Besluit</w:t>
      </w:r>
      <w:r w:rsidR="00DD3215">
        <w:t xml:space="preserve"> ter Voorkoming van Dubbele Belasting 2001 </w:t>
      </w:r>
      <w:r w:rsidRPr="005610F6">
        <w:t>kan gelden</w:t>
      </w:r>
      <w:r>
        <w:rPr>
          <w:rStyle w:val="FootnoteReference"/>
        </w:rPr>
        <w:footnoteReference w:id="47"/>
      </w:r>
      <w:r>
        <w:t xml:space="preserve">”. In </w:t>
      </w:r>
      <w:r w:rsidR="00BD13CA">
        <w:t>art.</w:t>
      </w:r>
      <w:r>
        <w:t xml:space="preserve"> </w:t>
      </w:r>
      <w:r w:rsidR="00DD3215">
        <w:t>36 van dit</w:t>
      </w:r>
      <w:r w:rsidRPr="00DF1B8E">
        <w:t xml:space="preserve"> Besluit is </w:t>
      </w:r>
      <w:r>
        <w:t xml:space="preserve">bepaald </w:t>
      </w:r>
      <w:r w:rsidRPr="00DF1B8E">
        <w:t xml:space="preserve">dat </w:t>
      </w:r>
      <w:r>
        <w:t>i</w:t>
      </w:r>
      <w:r w:rsidRPr="00DF1B8E">
        <w:t>nterest</w:t>
      </w:r>
      <w:r>
        <w:t>opbrengsten</w:t>
      </w:r>
      <w:r w:rsidRPr="00DF1B8E">
        <w:t xml:space="preserve"> die</w:t>
      </w:r>
      <w:r>
        <w:t>nen</w:t>
      </w:r>
      <w:r w:rsidRPr="00DF1B8E">
        <w:t xml:space="preserve"> te worden verminderd met de daarmee verband houdende kosten.</w:t>
      </w:r>
      <w:r>
        <w:t xml:space="preserve"> Echter, zo oordeelt de rechtbank, zijn onder deze kosten niet bedoeld de valutaresultaten. </w:t>
      </w:r>
      <w:r w:rsidR="001969EA">
        <w:t>A</w:t>
      </w:r>
      <w:r>
        <w:t xml:space="preserve">ls </w:t>
      </w:r>
      <w:r w:rsidR="001969EA">
        <w:t>er gekeken word</w:t>
      </w:r>
      <w:r>
        <w:t xml:space="preserve"> naar de wetsgeschiedenis van zowel art</w:t>
      </w:r>
      <w:r w:rsidR="00BD13CA">
        <w:t>.</w:t>
      </w:r>
      <w:r>
        <w:t xml:space="preserve"> 13 Wet VPB 1969 als </w:t>
      </w:r>
      <w:r w:rsidR="001969EA">
        <w:t xml:space="preserve">art. </w:t>
      </w:r>
      <w:r>
        <w:t xml:space="preserve">10a Wet VPB 1969 zien we </w:t>
      </w:r>
      <w:r w:rsidR="001969EA">
        <w:t xml:space="preserve">immers </w:t>
      </w:r>
      <w:r>
        <w:t xml:space="preserve">een heel andere </w:t>
      </w:r>
      <w:r w:rsidRPr="002E359C">
        <w:t xml:space="preserve">behandeling. Op 20 april 1977 </w:t>
      </w:r>
      <w:r>
        <w:t>kwam</w:t>
      </w:r>
      <w:r w:rsidRPr="002E359C">
        <w:t xml:space="preserve"> de Hoge Raad in een arrest</w:t>
      </w:r>
      <w:r>
        <w:rPr>
          <w:rStyle w:val="FootnoteReference"/>
        </w:rPr>
        <w:footnoteReference w:id="48"/>
      </w:r>
      <w:r>
        <w:t xml:space="preserve"> tot een besluit, waaruit d</w:t>
      </w:r>
      <w:r w:rsidRPr="002E359C">
        <w:t>e rechtbank concludeert dat valutaresult</w:t>
      </w:r>
      <w:r w:rsidR="00DD3215">
        <w:t>aten niet</w:t>
      </w:r>
      <w:r w:rsidRPr="002E359C">
        <w:t xml:space="preserve"> als lopende uitgaven kunnen worden aangemerkt. De Hoge Raad oordeelde namelijk dat positieve valutaresultaten geen negatieve kosten zijn in de zin van het toenmalige art</w:t>
      </w:r>
      <w:r w:rsidR="00BD13CA">
        <w:t>.</w:t>
      </w:r>
      <w:r w:rsidR="007D7A09">
        <w:t xml:space="preserve"> 13 vierde lid</w:t>
      </w:r>
      <w:r w:rsidRPr="002E359C">
        <w:t xml:space="preserve"> </w:t>
      </w:r>
      <w:r>
        <w:t xml:space="preserve">Wet </w:t>
      </w:r>
      <w:r w:rsidRPr="002E359C">
        <w:t>VPB</w:t>
      </w:r>
      <w:r>
        <w:t xml:space="preserve"> 1969</w:t>
      </w:r>
      <w:r w:rsidRPr="002E359C">
        <w:t>.</w:t>
      </w:r>
      <w:r>
        <w:t xml:space="preserve"> </w:t>
      </w:r>
      <w:r w:rsidRPr="002E359C">
        <w:t xml:space="preserve">Daarnaast word </w:t>
      </w:r>
      <w:r w:rsidR="00BD13CA">
        <w:t>art.</w:t>
      </w:r>
      <w:r w:rsidRPr="002E359C">
        <w:t xml:space="preserve"> 10a </w:t>
      </w:r>
      <w:r>
        <w:t xml:space="preserve">Wet </w:t>
      </w:r>
      <w:r w:rsidRPr="002E359C">
        <w:t>VPB</w:t>
      </w:r>
      <w:r>
        <w:t xml:space="preserve"> 1969</w:t>
      </w:r>
      <w:r w:rsidRPr="002E359C">
        <w:t xml:space="preserve"> aangehaald. In </w:t>
      </w:r>
      <w:r>
        <w:t xml:space="preserve">dit artikel is namelijk een duidelijk onderscheid gemaakt tussen valutaresultaten en kosten. Wat hier verder de gevolgen en de definitieve uitspraken zijn is niet belangrijk. Het is belangrijk dat valutaresultaten een zelfstandig element zijn en ook zo behandeld dienen te worden. Over hoe deze behandeling dient te geschieden schrijft Wattel ook in zijn conclusie. Hij beoordeelt de </w:t>
      </w:r>
      <w:r w:rsidRPr="002E359C">
        <w:t>voorspelbaarheid van valutaresultaten</w:t>
      </w:r>
      <w:r>
        <w:t>. Deze kunnen deels</w:t>
      </w:r>
      <w:r w:rsidRPr="002E359C">
        <w:t xml:space="preserve"> aan de hand van de rentestand</w:t>
      </w:r>
      <w:r>
        <w:t xml:space="preserve"> en de wisselkoersen bepaald worden. Hij doelt hier op de rentepariteit. </w:t>
      </w:r>
      <w:r w:rsidR="002910B8">
        <w:t>Daarbij meent hij</w:t>
      </w:r>
      <w:r w:rsidRPr="002E359C">
        <w:t xml:space="preserve"> dat valutaresultaten in twee segmenten op te splitsen zijn. Een risicovol deel en een risicovrij deel, dat ontstaat uit verschillende factoren, die bij een </w:t>
      </w:r>
      <w:proofErr w:type="spellStart"/>
      <w:r w:rsidRPr="002E359C">
        <w:t>arm-lenght</w:t>
      </w:r>
      <w:proofErr w:type="spellEnd"/>
      <w:r w:rsidRPr="002E359C">
        <w:t xml:space="preserve"> transactie automatisch tot stand komen. </w:t>
      </w:r>
      <w:r>
        <w:t>De rente van een lening in vreemde valuta wordt door de volgende componenten opgebouwd; e</w:t>
      </w:r>
      <w:r w:rsidRPr="005B265D">
        <w:t xml:space="preserve">en vergoeding voor de leningdienst (de huur van de geldsom), compensatie voor inflatie, een vergoeding voor het debiteurenrisico en een opslag of een aftrek voor het negatieve </w:t>
      </w:r>
      <w:proofErr w:type="gramStart"/>
      <w:r w:rsidRPr="005B265D">
        <w:t>respectievelijk</w:t>
      </w:r>
      <w:proofErr w:type="gramEnd"/>
      <w:r w:rsidRPr="005B265D">
        <w:t xml:space="preserve"> positieve valutarisico.</w:t>
      </w:r>
      <w:r>
        <w:t xml:space="preserve"> Een rationeel denkende </w:t>
      </w:r>
      <w:r w:rsidR="007D7A09">
        <w:t>geldverstrekker</w:t>
      </w:r>
      <w:r>
        <w:t xml:space="preserve"> houdt rekening met deze factoren en wil een vergoeding zien voor het risico dat hij loop op valutawijzigingen. Immers</w:t>
      </w:r>
      <w:r w:rsidR="007562D0">
        <w:t>,</w:t>
      </w:r>
      <w:r>
        <w:t xml:space="preserve"> als je geld uitleent</w:t>
      </w:r>
      <w:r w:rsidR="007562D0">
        <w:t>,</w:t>
      </w:r>
      <w:r>
        <w:t xml:space="preserve"> d</w:t>
      </w:r>
      <w:r w:rsidR="007562D0">
        <w:t>o</w:t>
      </w:r>
      <w:r>
        <w:t xml:space="preserve">e je dat om er iets aan te verdienen en je kosten (o.a. </w:t>
      </w:r>
      <w:proofErr w:type="spellStart"/>
      <w:r>
        <w:t>oppurtunity</w:t>
      </w:r>
      <w:proofErr w:type="spellEnd"/>
      <w:r>
        <w:t xml:space="preserve"> </w:t>
      </w:r>
      <w:proofErr w:type="spellStart"/>
      <w:r>
        <w:t>costs</w:t>
      </w:r>
      <w:proofErr w:type="spellEnd"/>
      <w:r>
        <w:t xml:space="preserve">) te dekken. De geldverstrekker zal er altijd voor zorgen dat zijn gemiddelde </w:t>
      </w:r>
      <w:r>
        <w:lastRenderedPageBreak/>
        <w:t xml:space="preserve">verwachte opbrengst positief is. Als de kans op een negatief valutaresultaat groeit, zal de rentevergoeding ook stijgen en </w:t>
      </w:r>
      <w:proofErr w:type="spellStart"/>
      <w:r>
        <w:t>vice</w:t>
      </w:r>
      <w:proofErr w:type="spellEnd"/>
      <w:r>
        <w:t xml:space="preserve"> versa. </w:t>
      </w:r>
    </w:p>
    <w:p w:rsidR="001F720B" w:rsidRDefault="001F720B" w:rsidP="001F720B">
      <w:pPr>
        <w:pStyle w:val="NoSpacing"/>
        <w:spacing w:line="360" w:lineRule="auto"/>
      </w:pPr>
      <w:r>
        <w:t>Met dit in ogenschouw concludeert Wattel dat er geen reden tot twijfel bestaat wat betreft het bestaan van een risicovrij deel van het valutaresultaat. Bij het bepalen we</w:t>
      </w:r>
      <w:r w:rsidR="007562D0">
        <w:t>l deel van het valutaverlies dat</w:t>
      </w:r>
      <w:r>
        <w:t xml:space="preserve"> daadwerkelijk aangemerkt kan worden als verlies is het deel dat risicovol is. Het overige deel geldt als kosten. Dit kunnen we vervolgens toepassen op art</w:t>
      </w:r>
      <w:r w:rsidR="00BD13CA">
        <w:t xml:space="preserve">. </w:t>
      </w:r>
      <w:r>
        <w:t xml:space="preserve">10a Wet VPB 1969. Ook voor deze bepaling moet er uitgegaan worden van deels verklaarbare valutaresultaten. Ik zal deze verklaringswaarde eerst testen aan de hand van empirisch onderzoek. </w:t>
      </w:r>
    </w:p>
    <w:p w:rsidR="009F60CF" w:rsidRDefault="009F60CF" w:rsidP="00751820">
      <w:pPr>
        <w:pStyle w:val="Heading1"/>
        <w:numPr>
          <w:ilvl w:val="0"/>
          <w:numId w:val="4"/>
        </w:numPr>
      </w:pPr>
      <w:bookmarkStart w:id="13" w:name="_Toc299359017"/>
      <w:r>
        <w:t>De voorspelbaarheid van wisselkoersresultaten</w:t>
      </w:r>
      <w:bookmarkEnd w:id="13"/>
    </w:p>
    <w:p w:rsidR="009F60CF" w:rsidRPr="001E261E" w:rsidRDefault="009F60CF" w:rsidP="009F60CF">
      <w:pPr>
        <w:pStyle w:val="NoSpacing"/>
        <w:spacing w:line="360" w:lineRule="auto"/>
      </w:pPr>
      <w:r w:rsidRPr="001E261E">
        <w:t xml:space="preserve">Er zijn vele factoren die wisselkoersen beïnvloeden. Economische factoren zijn onder andere de rentestand, politiek beleid, volatiliteit van de geldhoeveelheid en de grootte van de geldhoeveelheid. Maar ook andere factoren spelen een rol. Zo worden de zogenaamde shocks </w:t>
      </w:r>
      <w:r w:rsidR="007D7A09">
        <w:t>veroorzaakt door onverwachte evenementen. Voorbeelden hiervan zijn</w:t>
      </w:r>
      <w:r w:rsidRPr="001E261E">
        <w:t xml:space="preserve"> </w:t>
      </w:r>
      <w:r>
        <w:t>politiek beleid,</w:t>
      </w:r>
      <w:r w:rsidR="0033793F">
        <w:t xml:space="preserve"> </w:t>
      </w:r>
      <w:r w:rsidRPr="001E261E">
        <w:t xml:space="preserve">rampen en </w:t>
      </w:r>
      <w:r>
        <w:t xml:space="preserve">natuurgeweld. Oorlogen, </w:t>
      </w:r>
      <w:proofErr w:type="spellStart"/>
      <w:r>
        <w:t>tsunami’</w:t>
      </w:r>
      <w:r w:rsidRPr="001E261E">
        <w:t>s</w:t>
      </w:r>
      <w:proofErr w:type="spellEnd"/>
      <w:r w:rsidRPr="001E261E">
        <w:t xml:space="preserve"> en kernrampen zoals in Japan zijn voorbeelden hiervan en zorgen ervoor dat vele economische </w:t>
      </w:r>
      <w:r w:rsidR="006604DB">
        <w:t>factoren</w:t>
      </w:r>
      <w:r w:rsidRPr="001E261E">
        <w:t xml:space="preserve">, zo ook de wisselkoersen, op onvoorspelbare manieren veranderen. </w:t>
      </w:r>
    </w:p>
    <w:p w:rsidR="009F60CF" w:rsidRPr="001E261E" w:rsidRDefault="009F60CF" w:rsidP="009F60CF">
      <w:pPr>
        <w:pStyle w:val="NoSpacing"/>
        <w:spacing w:line="360" w:lineRule="auto"/>
      </w:pPr>
      <w:r w:rsidRPr="001E261E">
        <w:t xml:space="preserve">Om de voorspelbaarheid van wisselkoersen te bepalen wil ik kijken naar verschillende </w:t>
      </w:r>
      <w:r>
        <w:t>factoren</w:t>
      </w:r>
      <w:r w:rsidRPr="001E261E">
        <w:t>. Als eerste het belangrijkste onderdeel; de rentepariteit. Over de rentepariteit is al veel geschreven en nagedacht. Er wordt gespeculeerd over de toepasbaarheid van het model bij het bepalen van de juiste toepassing van de aftrekbeperking van art</w:t>
      </w:r>
      <w:r w:rsidR="00BD13CA">
        <w:t>.</w:t>
      </w:r>
      <w:r w:rsidRPr="001E261E">
        <w:t xml:space="preserve"> 10a</w:t>
      </w:r>
      <w:r w:rsidR="00BD13CA">
        <w:t xml:space="preserve"> Wet</w:t>
      </w:r>
      <w:r w:rsidRPr="001E261E">
        <w:t xml:space="preserve"> VPB</w:t>
      </w:r>
      <w:r w:rsidR="00BD13CA">
        <w:t xml:space="preserve"> 1969</w:t>
      </w:r>
      <w:r w:rsidRPr="001E261E">
        <w:t xml:space="preserve">. De wetgever lijkt zich immers gebaseerd te hebben op dit model, toen zij valutaresultaten opnam in de bepaling. </w:t>
      </w:r>
      <w:r>
        <w:t xml:space="preserve">De vraag is dus wat </w:t>
      </w:r>
      <w:r w:rsidR="006604DB">
        <w:t xml:space="preserve">de interestpariteit inhoudt </w:t>
      </w:r>
      <w:r>
        <w:t>en wat haar nut</w:t>
      </w:r>
      <w:r w:rsidR="006604DB">
        <w:t xml:space="preserve"> is.</w:t>
      </w:r>
      <w:r>
        <w:t xml:space="preserve"> Hierbij</w:t>
      </w:r>
      <w:r w:rsidRPr="001E261E">
        <w:t xml:space="preserve"> licht ik kort toe dat het model van de ‘Random Walk’ jarenlang de beste predictie van toekomstige wisselkoersen leek te zijn en hoe men in de loop der jaren over de rentepariteit is gaan denken. </w:t>
      </w:r>
      <w:r w:rsidR="00265568">
        <w:t>Vervolgens zal ik de waarde van de interestpariteit onder extreme omstandigheden onderzoeken. Daarna bespreek ik</w:t>
      </w:r>
      <w:r w:rsidRPr="001E261E">
        <w:t xml:space="preserve"> een arrest waarin de rechtgevende macht haar mening geeft over de interest pariteit; namelijk het Peseta</w:t>
      </w:r>
      <w:r w:rsidR="006604DB">
        <w:t>’s</w:t>
      </w:r>
      <w:r w:rsidRPr="001E261E">
        <w:t xml:space="preserve"> Arrest. </w:t>
      </w:r>
      <w:r>
        <w:t xml:space="preserve">De </w:t>
      </w:r>
      <w:r w:rsidR="006604DB">
        <w:t>R</w:t>
      </w:r>
      <w:r>
        <w:t xml:space="preserve">echtbank, het </w:t>
      </w:r>
      <w:r w:rsidR="006604DB">
        <w:t>H</w:t>
      </w:r>
      <w:r>
        <w:t>of en de Advocaat Generaal geven hun mening over valutaresultaten binnen art</w:t>
      </w:r>
      <w:r w:rsidR="00BD13CA">
        <w:t>.</w:t>
      </w:r>
      <w:r>
        <w:t xml:space="preserve"> 13 </w:t>
      </w:r>
      <w:r w:rsidR="00BD13CA">
        <w:t xml:space="preserve">Wet </w:t>
      </w:r>
      <w:r>
        <w:t>VPB</w:t>
      </w:r>
      <w:r w:rsidR="00BD13CA">
        <w:t xml:space="preserve"> 1969</w:t>
      </w:r>
      <w:r>
        <w:t xml:space="preserve">. Dit arrest kan inzicht geven in hoe valutaresultaten behandeld dienen te worden. </w:t>
      </w:r>
    </w:p>
    <w:p w:rsidR="009F60CF" w:rsidRPr="001E261E" w:rsidRDefault="009F60CF" w:rsidP="009F60CF">
      <w:pPr>
        <w:pStyle w:val="NoSpacing"/>
        <w:spacing w:line="360" w:lineRule="auto"/>
      </w:pPr>
      <w:r w:rsidRPr="001E261E">
        <w:t xml:space="preserve">Deze onderdelen samen moeten een duidelijk beeld geven van wat de rentepariteit daadwerkelijk inhoud, wat de waarde van het model is en hoe de wetgevende macht over het model denkt. Aan de hand daarvan kunnen we concluderen of het rechtvaardig </w:t>
      </w:r>
      <w:proofErr w:type="gramStart"/>
      <w:r w:rsidRPr="001E261E">
        <w:t>is</w:t>
      </w:r>
      <w:proofErr w:type="gramEnd"/>
      <w:r w:rsidRPr="001E261E">
        <w:t xml:space="preserve"> dat de wetgever zich in het verleden gebaseerd heeft op dit model. Daarnaast kunnen we concluderen of </w:t>
      </w:r>
      <w:r w:rsidR="007D7A09">
        <w:t xml:space="preserve">het </w:t>
      </w:r>
      <w:r w:rsidRPr="001E261E">
        <w:t xml:space="preserve">tegenwoordig nog rechtvaardig is dat valutaresultaten opgenomen zijn in </w:t>
      </w:r>
      <w:r w:rsidR="006604DB">
        <w:t>de bepaling</w:t>
      </w:r>
      <w:r w:rsidRPr="001E261E">
        <w:t>.</w:t>
      </w:r>
    </w:p>
    <w:p w:rsidR="00FE60E8" w:rsidRPr="00D843A0" w:rsidRDefault="00FE60E8" w:rsidP="00751820">
      <w:pPr>
        <w:pStyle w:val="Heading2"/>
        <w:numPr>
          <w:ilvl w:val="1"/>
          <w:numId w:val="4"/>
        </w:numPr>
      </w:pPr>
      <w:bookmarkStart w:id="14" w:name="_Toc298505069"/>
      <w:bookmarkStart w:id="15" w:name="_Toc299359018"/>
      <w:r>
        <w:lastRenderedPageBreak/>
        <w:t>R</w:t>
      </w:r>
      <w:r w:rsidRPr="00D843A0">
        <w:t>ente pariteit</w:t>
      </w:r>
      <w:r>
        <w:rPr>
          <w:rStyle w:val="FootnoteReference"/>
          <w:i/>
        </w:rPr>
        <w:footnoteReference w:id="49"/>
      </w:r>
      <w:bookmarkEnd w:id="14"/>
      <w:bookmarkEnd w:id="15"/>
    </w:p>
    <w:p w:rsidR="00FE60E8" w:rsidRDefault="00FE60E8" w:rsidP="00FE60E8">
      <w:pPr>
        <w:pStyle w:val="NoSpacing"/>
        <w:spacing w:line="360" w:lineRule="auto"/>
      </w:pPr>
      <w:r>
        <w:t xml:space="preserve">Er zijn twee vormen van rentepariteit, de </w:t>
      </w:r>
      <w:proofErr w:type="spellStart"/>
      <w:r>
        <w:t>Covered</w:t>
      </w:r>
      <w:proofErr w:type="spellEnd"/>
      <w:r>
        <w:t xml:space="preserve"> Interest </w:t>
      </w:r>
      <w:proofErr w:type="spellStart"/>
      <w:r>
        <w:t>Parity</w:t>
      </w:r>
      <w:proofErr w:type="spellEnd"/>
      <w:r>
        <w:t xml:space="preserve"> (CIP) en de </w:t>
      </w:r>
      <w:proofErr w:type="spellStart"/>
      <w:r>
        <w:t>Uncovered</w:t>
      </w:r>
      <w:proofErr w:type="spellEnd"/>
      <w:r>
        <w:t xml:space="preserve"> </w:t>
      </w:r>
      <w:proofErr w:type="spellStart"/>
      <w:r>
        <w:t>Interes</w:t>
      </w:r>
      <w:proofErr w:type="spellEnd"/>
      <w:r>
        <w:t xml:space="preserve"> </w:t>
      </w:r>
      <w:proofErr w:type="spellStart"/>
      <w:r>
        <w:t>Partity</w:t>
      </w:r>
      <w:proofErr w:type="spellEnd"/>
      <w:r>
        <w:t xml:space="preserve"> (UIP). In beide varianten is er sprake van volledige mobiliteit van kapitaal, rationele spelers op de markt en een gelijk risicoprofiel tussen landen. Op deze manier zullen er geen arbitragemogelijkheden zijn. In het kort houdt interestpariteit in dat verschillen in rentestanden tussen landen, in combinatie met de huidige wisselkoers, een juiste predictie opleveren van de toekomstige wisselkoersen. Op het moment dat het model niet opgaat en er dus arbitragemogelijkheden zijn, kunnen er voordelen behaald worden bij het doorlenen van een lening van land A naar land B. </w:t>
      </w:r>
      <w:proofErr w:type="gramStart"/>
      <w:r>
        <w:t>Dit</w:t>
      </w:r>
      <w:proofErr w:type="gramEnd"/>
      <w:r>
        <w:t xml:space="preserve"> vereist meer uitleg.</w:t>
      </w:r>
    </w:p>
    <w:p w:rsidR="00FE60E8" w:rsidRPr="00B66E78" w:rsidRDefault="00FE60E8" w:rsidP="00FE60E8">
      <w:pPr>
        <w:pStyle w:val="NoSpacing"/>
        <w:spacing w:line="360" w:lineRule="auto"/>
        <w:rPr>
          <w:i/>
        </w:rPr>
      </w:pPr>
    </w:p>
    <w:p w:rsidR="00FE60E8" w:rsidRPr="00D82AA8" w:rsidRDefault="00FE60E8" w:rsidP="00FE60E8">
      <w:pPr>
        <w:pStyle w:val="NoSpacing"/>
        <w:spacing w:line="360" w:lineRule="auto"/>
      </w:pPr>
      <w:r w:rsidRPr="00D82AA8">
        <w:t xml:space="preserve">De </w:t>
      </w:r>
      <w:r>
        <w:t>interestpariteit houdt in dat de nominale risicovrije opbrengst van bijvoorbeeld een Euro/Dollar lening</w:t>
      </w:r>
      <w:r w:rsidRPr="00D82AA8">
        <w:t xml:space="preserve"> </w:t>
      </w:r>
      <w:r>
        <w:t>gelijk is aan de nominale opbrengst van een Euro/Euro lening, als de beide leningen hetzelfde risicoprofiel hebben. Het komt er dus op neer dat het niet uitmaakt of je in Dollars of in Euro’s leent. De opbrengst zal gelijk zijn. De gedekte interestpariteit (</w:t>
      </w:r>
      <w:proofErr w:type="spellStart"/>
      <w:r>
        <w:t>Covered</w:t>
      </w:r>
      <w:proofErr w:type="spellEnd"/>
      <w:r>
        <w:t xml:space="preserve"> Interest </w:t>
      </w:r>
      <w:proofErr w:type="spellStart"/>
      <w:r>
        <w:t>Parity</w:t>
      </w:r>
      <w:proofErr w:type="spellEnd"/>
      <w:r>
        <w:t xml:space="preserve">, CIP) kan worden weergegeven in </w:t>
      </w:r>
      <w:r w:rsidRPr="00D82AA8">
        <w:t>de volgende formule:</w:t>
      </w:r>
    </w:p>
    <w:p w:rsidR="00FE60E8" w:rsidRDefault="00FE60E8" w:rsidP="00FE60E8">
      <w:pPr>
        <w:pStyle w:val="NoSpacing"/>
        <w:spacing w:line="360" w:lineRule="auto"/>
      </w:pPr>
    </w:p>
    <w:p w:rsidR="00FE60E8" w:rsidRPr="00D82AA8" w:rsidRDefault="00FE60E8" w:rsidP="00FE60E8">
      <w:pPr>
        <w:pStyle w:val="NoSpacing"/>
        <w:spacing w:line="360" w:lineRule="auto"/>
      </w:pPr>
      <w:proofErr w:type="gramStart"/>
      <w:r w:rsidRPr="00656458">
        <w:t>[</w:t>
      </w:r>
      <w:r w:rsidR="00656458">
        <w:t>4.1.1</w:t>
      </w:r>
      <w:r w:rsidRPr="00656458">
        <w:t>]</w:t>
      </w:r>
      <w:r>
        <w:rPr>
          <w:color w:val="FF0000"/>
        </w:rPr>
        <w:tab/>
      </w:r>
      <w:r>
        <w:t xml:space="preserve">1 + </w:t>
      </w:r>
      <w:proofErr w:type="spellStart"/>
      <w:r>
        <w:t>i</w:t>
      </w:r>
      <w:r>
        <w:rPr>
          <w:vertAlign w:val="subscript"/>
        </w:rPr>
        <w:t>t</w:t>
      </w:r>
      <w:proofErr w:type="spellEnd"/>
      <w:r>
        <w:t xml:space="preserve"> = (1 + </w:t>
      </w:r>
      <w:proofErr w:type="spellStart"/>
      <w:r>
        <w:t>i</w:t>
      </w:r>
      <w:r>
        <w:rPr>
          <w:vertAlign w:val="subscript"/>
        </w:rPr>
        <w:t>t</w:t>
      </w:r>
      <w:proofErr w:type="spellEnd"/>
      <w:r>
        <w:t>*) (F</w:t>
      </w:r>
      <w:r>
        <w:rPr>
          <w:vertAlign w:val="subscript"/>
        </w:rPr>
        <w:t>t</w:t>
      </w:r>
      <w:r>
        <w:t xml:space="preserve"> / </w:t>
      </w:r>
      <w:proofErr w:type="spellStart"/>
      <w:r>
        <w:t>S</w:t>
      </w:r>
      <w:r>
        <w:rPr>
          <w:vertAlign w:val="subscript"/>
        </w:rPr>
        <w:t>t</w:t>
      </w:r>
      <w:proofErr w:type="spellEnd"/>
      <w:r>
        <w:t>)</w:t>
      </w:r>
      <w:proofErr w:type="gramEnd"/>
    </w:p>
    <w:p w:rsidR="00FE60E8" w:rsidRDefault="00FE60E8" w:rsidP="00FE60E8">
      <w:pPr>
        <w:pStyle w:val="NoSpacing"/>
        <w:spacing w:line="360" w:lineRule="auto"/>
      </w:pPr>
    </w:p>
    <w:p w:rsidR="00FE60E8" w:rsidRDefault="00FE60E8" w:rsidP="00FE60E8">
      <w:pPr>
        <w:pStyle w:val="NoSpacing"/>
        <w:spacing w:line="360" w:lineRule="auto"/>
      </w:pPr>
      <w:proofErr w:type="spellStart"/>
      <w:proofErr w:type="gramStart"/>
      <w:r>
        <w:t>i</w:t>
      </w:r>
      <w:r>
        <w:rPr>
          <w:vertAlign w:val="subscript"/>
        </w:rPr>
        <w:t>t</w:t>
      </w:r>
      <w:proofErr w:type="spellEnd"/>
      <w:proofErr w:type="gramEnd"/>
      <w:r>
        <w:rPr>
          <w:vertAlign w:val="subscript"/>
        </w:rPr>
        <w:t xml:space="preserve"> </w:t>
      </w:r>
      <w:r>
        <w:rPr>
          <w:vertAlign w:val="subscript"/>
        </w:rPr>
        <w:tab/>
      </w:r>
      <w:r>
        <w:t>= de interest op datum t van een Dollar lening met een duur van een periode</w:t>
      </w:r>
    </w:p>
    <w:p w:rsidR="00FE60E8" w:rsidRDefault="00FE60E8" w:rsidP="00FE60E8">
      <w:pPr>
        <w:pStyle w:val="NoSpacing"/>
        <w:spacing w:line="360" w:lineRule="auto"/>
      </w:pPr>
      <w:proofErr w:type="spellStart"/>
      <w:proofErr w:type="gramStart"/>
      <w:r>
        <w:t>i</w:t>
      </w:r>
      <w:r>
        <w:rPr>
          <w:vertAlign w:val="subscript"/>
        </w:rPr>
        <w:t>t</w:t>
      </w:r>
      <w:proofErr w:type="spellEnd"/>
      <w:proofErr w:type="gramEnd"/>
      <w:r>
        <w:t xml:space="preserve">* </w:t>
      </w:r>
      <w:r>
        <w:tab/>
        <w:t xml:space="preserve">= de interest op datum t van een Euro lening </w:t>
      </w:r>
    </w:p>
    <w:p w:rsidR="00FE60E8" w:rsidRPr="00B66E78" w:rsidRDefault="00FE60E8" w:rsidP="00FE60E8">
      <w:pPr>
        <w:pStyle w:val="NoSpacing"/>
        <w:spacing w:line="360" w:lineRule="auto"/>
        <w:rPr>
          <w:lang w:val="en-US"/>
        </w:rPr>
      </w:pPr>
      <w:r w:rsidRPr="00B66E78">
        <w:rPr>
          <w:lang w:val="en-US"/>
        </w:rPr>
        <w:t>S</w:t>
      </w:r>
      <w:r w:rsidRPr="00B66E78">
        <w:rPr>
          <w:vertAlign w:val="subscript"/>
          <w:lang w:val="en-US"/>
        </w:rPr>
        <w:t xml:space="preserve">t </w:t>
      </w:r>
      <w:r w:rsidRPr="00B66E78">
        <w:rPr>
          <w:vertAlign w:val="subscript"/>
          <w:lang w:val="en-US"/>
        </w:rPr>
        <w:tab/>
      </w:r>
      <w:r w:rsidRPr="00B66E78">
        <w:rPr>
          <w:lang w:val="en-US"/>
        </w:rPr>
        <w:t>= Spot Exchange Rate (</w:t>
      </w:r>
      <w:proofErr w:type="spellStart"/>
      <w:r w:rsidRPr="00B66E78">
        <w:rPr>
          <w:lang w:val="en-US"/>
        </w:rPr>
        <w:t>aantal</w:t>
      </w:r>
      <w:proofErr w:type="spellEnd"/>
      <w:r w:rsidRPr="00B66E78">
        <w:rPr>
          <w:lang w:val="en-US"/>
        </w:rPr>
        <w:t xml:space="preserve"> Dollars per Euro)</w:t>
      </w:r>
    </w:p>
    <w:p w:rsidR="00FE60E8" w:rsidRPr="002C5A5D" w:rsidRDefault="00FE60E8" w:rsidP="00FE60E8">
      <w:pPr>
        <w:pStyle w:val="NoSpacing"/>
        <w:spacing w:line="360" w:lineRule="auto"/>
      </w:pPr>
      <w:r w:rsidRPr="002C5A5D">
        <w:t>F</w:t>
      </w:r>
      <w:r w:rsidRPr="002C5A5D">
        <w:rPr>
          <w:vertAlign w:val="subscript"/>
        </w:rPr>
        <w:t>t</w:t>
      </w:r>
      <w:r w:rsidRPr="002C5A5D">
        <w:tab/>
        <w:t xml:space="preserve">= </w:t>
      </w:r>
      <w:proofErr w:type="spellStart"/>
      <w:r w:rsidRPr="002C5A5D">
        <w:t>Forward</w:t>
      </w:r>
      <w:proofErr w:type="spellEnd"/>
      <w:r w:rsidRPr="002C5A5D">
        <w:t xml:space="preserve"> exchange rate over een periode</w:t>
      </w:r>
    </w:p>
    <w:p w:rsidR="00FE60E8" w:rsidRDefault="00FE60E8" w:rsidP="00FE60E8">
      <w:pPr>
        <w:pStyle w:val="NoSpacing"/>
        <w:spacing w:line="360" w:lineRule="auto"/>
      </w:pPr>
    </w:p>
    <w:p w:rsidR="00FE60E8" w:rsidRDefault="00FE60E8" w:rsidP="00FE60E8">
      <w:pPr>
        <w:pStyle w:val="NoSpacing"/>
        <w:spacing w:line="360" w:lineRule="auto"/>
      </w:pPr>
      <w:r>
        <w:t>Een investeerder zal de interest die hij thuis ontvangt vergelijken met de interest in het buitenland. Daarbij moet hij rekening houden met de wisselkoers. Stel</w:t>
      </w:r>
      <w:r w:rsidR="007D7A09">
        <w:t>,</w:t>
      </w:r>
      <w:r>
        <w:t xml:space="preserve"> de investeerder is een Nederlander en kan zijn spaargeld a </w:t>
      </w:r>
      <w:r w:rsidR="002D0EA6">
        <w:t xml:space="preserve">EUR </w:t>
      </w:r>
      <w:r>
        <w:t xml:space="preserve">100.000 in Nederland aan een Nederlander uitlenen tegen een rente van 6%. Een tweede mogelijkheid is zijn geld om te wisselen naar </w:t>
      </w:r>
      <w:r w:rsidR="002D0EA6">
        <w:t xml:space="preserve">GBP </w:t>
      </w:r>
      <w:r>
        <w:t xml:space="preserve">80.000 en het aan een Engelsman uit te lenen. Hij zal dan een interestpercentage van bijvoorbeeld 5% ontvangen. Nu lijkt het gemakkelijk om te kiezen voor de 6% interest. Echter als er een appreciatie van de Pond ten opzichte van de Euro </w:t>
      </w:r>
      <w:r w:rsidR="007D7A09">
        <w:t>plaatsvindt</w:t>
      </w:r>
      <w:r>
        <w:t xml:space="preserve">, zal de uiteindelijke opbrengst voor de investeerder hoger zijn. Als de Pond ten opzichte van de Euro meer waard word, zal de investeerder bij aflossing </w:t>
      </w:r>
      <w:r w:rsidR="002D0EA6">
        <w:t xml:space="preserve">GBP </w:t>
      </w:r>
      <w:r>
        <w:t xml:space="preserve">80.000 ontvangen, wat dan bijvoorbeeld </w:t>
      </w:r>
      <w:r w:rsidR="002D0EA6">
        <w:t xml:space="preserve">EUR </w:t>
      </w:r>
      <w:r>
        <w:t>110.000 is. Nu weet de investeerder niet wat de</w:t>
      </w:r>
      <w:r w:rsidR="00A121CA">
        <w:t xml:space="preserve"> toekomstige</w:t>
      </w:r>
      <w:r>
        <w:t xml:space="preserve"> wisselkoers </w:t>
      </w:r>
      <w:r>
        <w:lastRenderedPageBreak/>
        <w:t xml:space="preserve">zal zijn in periode twee, dus hij sluit daarom een forward contract af. Dit houdt in dat hij met de bank afspreekt dat hij bij aflossing de ponden voor een vaste hoeveelheid euro’s kan inwisselen. Op deze manier loopt hij geen risico. Echter als het UIP niet opgaat, dan zal de wisselkoers afgesproken in het forward contact niet gelijk zijn aan de werkelijke toekomstige wisselkoers en zal een van de partijen winst maken. Op dat moment is er sprake van arbitrage en zijn de beide zijde van de formule niet </w:t>
      </w:r>
      <w:r w:rsidR="00A121CA">
        <w:t xml:space="preserve">aan elkaar </w:t>
      </w:r>
      <w:r>
        <w:t>gelijk. Neem de volgende (fictieve) input:</w:t>
      </w:r>
    </w:p>
    <w:p w:rsidR="00CE77C6" w:rsidRDefault="00CE77C6" w:rsidP="00FE60E8">
      <w:pPr>
        <w:pStyle w:val="NoSpacing"/>
        <w:spacing w:line="360" w:lineRule="auto"/>
      </w:pPr>
    </w:p>
    <w:p w:rsidR="00FE60E8" w:rsidRDefault="00FE60E8" w:rsidP="00FE60E8">
      <w:pPr>
        <w:pStyle w:val="NoSpacing"/>
        <w:spacing w:line="360" w:lineRule="auto"/>
      </w:pPr>
      <w:proofErr w:type="spellStart"/>
      <w:proofErr w:type="gramStart"/>
      <w:r>
        <w:t>i</w:t>
      </w:r>
      <w:r>
        <w:rPr>
          <w:vertAlign w:val="subscript"/>
        </w:rPr>
        <w:t>t</w:t>
      </w:r>
      <w:proofErr w:type="spellEnd"/>
      <w:proofErr w:type="gramEnd"/>
      <w:r>
        <w:rPr>
          <w:vertAlign w:val="subscript"/>
        </w:rPr>
        <w:t xml:space="preserve"> </w:t>
      </w:r>
      <w:r>
        <w:rPr>
          <w:vertAlign w:val="subscript"/>
        </w:rPr>
        <w:tab/>
      </w:r>
      <w:r>
        <w:t>= 0.01</w:t>
      </w:r>
    </w:p>
    <w:p w:rsidR="00FE60E8" w:rsidRDefault="00FE60E8" w:rsidP="00FE60E8">
      <w:pPr>
        <w:pStyle w:val="NoSpacing"/>
        <w:spacing w:line="360" w:lineRule="auto"/>
      </w:pPr>
      <w:proofErr w:type="spellStart"/>
      <w:proofErr w:type="gramStart"/>
      <w:r>
        <w:t>i</w:t>
      </w:r>
      <w:r>
        <w:rPr>
          <w:vertAlign w:val="subscript"/>
        </w:rPr>
        <w:t>t</w:t>
      </w:r>
      <w:proofErr w:type="spellEnd"/>
      <w:proofErr w:type="gramEnd"/>
      <w:r>
        <w:t xml:space="preserve">* </w:t>
      </w:r>
      <w:r>
        <w:tab/>
        <w:t>= 0.05</w:t>
      </w:r>
    </w:p>
    <w:p w:rsidR="00FE60E8" w:rsidRPr="00E351BE" w:rsidRDefault="00FE60E8" w:rsidP="00FE60E8">
      <w:pPr>
        <w:pStyle w:val="NoSpacing"/>
        <w:spacing w:line="360" w:lineRule="auto"/>
      </w:pPr>
      <w:proofErr w:type="spellStart"/>
      <w:r w:rsidRPr="00E351BE">
        <w:t>S</w:t>
      </w:r>
      <w:r w:rsidRPr="00E351BE">
        <w:rPr>
          <w:vertAlign w:val="subscript"/>
        </w:rPr>
        <w:t>t</w:t>
      </w:r>
      <w:proofErr w:type="spellEnd"/>
      <w:r w:rsidRPr="00E351BE">
        <w:rPr>
          <w:vertAlign w:val="subscript"/>
        </w:rPr>
        <w:t xml:space="preserve"> </w:t>
      </w:r>
      <w:r w:rsidRPr="00E351BE">
        <w:rPr>
          <w:vertAlign w:val="subscript"/>
        </w:rPr>
        <w:tab/>
      </w:r>
      <w:r w:rsidRPr="00E351BE">
        <w:t>= 1.5</w:t>
      </w:r>
      <w:r>
        <w:t>0</w:t>
      </w:r>
    </w:p>
    <w:p w:rsidR="00FE60E8" w:rsidRPr="00E351BE" w:rsidRDefault="00FE60E8" w:rsidP="00FE60E8">
      <w:pPr>
        <w:pStyle w:val="NoSpacing"/>
        <w:spacing w:line="360" w:lineRule="auto"/>
      </w:pPr>
      <w:r w:rsidRPr="00E351BE">
        <w:t>F</w:t>
      </w:r>
      <w:r w:rsidRPr="00E351BE">
        <w:rPr>
          <w:vertAlign w:val="subscript"/>
        </w:rPr>
        <w:t>t</w:t>
      </w:r>
      <w:r w:rsidRPr="00E351BE">
        <w:tab/>
        <w:t xml:space="preserve">= </w:t>
      </w:r>
      <w:r>
        <w:t>1.60</w:t>
      </w:r>
    </w:p>
    <w:p w:rsidR="00FE60E8" w:rsidRDefault="00FE60E8" w:rsidP="00FE60E8">
      <w:pPr>
        <w:pStyle w:val="NoSpacing"/>
        <w:spacing w:line="360" w:lineRule="auto"/>
      </w:pPr>
    </w:p>
    <w:p w:rsidR="00FE60E8" w:rsidRPr="008B20DF" w:rsidRDefault="00FE60E8" w:rsidP="00FE60E8">
      <w:pPr>
        <w:pStyle w:val="NoSpacing"/>
        <w:spacing w:line="360" w:lineRule="auto"/>
        <w:rPr>
          <w:rFonts w:eastAsia="Times New Roman" w:cs="Times New Roman"/>
          <w:color w:val="000000"/>
          <w:lang w:eastAsia="nl-NL"/>
        </w:rPr>
      </w:pPr>
      <w:r>
        <w:t xml:space="preserve">Uitgaande van deze input kan een Nederlander vandaag </w:t>
      </w:r>
      <w:r w:rsidR="007D7A09">
        <w:t xml:space="preserve">EUR </w:t>
      </w:r>
      <w:r>
        <w:t>10.000 uitlenen aan een andere Nederlander. O</w:t>
      </w:r>
      <w:r w:rsidR="007D7A09">
        <w:t xml:space="preserve">m dit te financieren leent hij EUR 10.000*1.5 = USD </w:t>
      </w:r>
      <w:r>
        <w:t>15.000. Zoals in het voorbeeld is gegeven, zal hi</w:t>
      </w:r>
      <w:r w:rsidR="007D7A09">
        <w:t xml:space="preserve">j een toekomstig resultaat van EUR </w:t>
      </w:r>
      <w:r>
        <w:t xml:space="preserve">100 realiseren op zijn uitgegeven lening. Immers de rente in Nederland is </w:t>
      </w:r>
      <w:r w:rsidR="00A121CA">
        <w:t>1%</w:t>
      </w:r>
      <w:r>
        <w:t xml:space="preserve">. Hij heeft een forward contract afgesloten met zijn schuldeiser met een wisselkoers van 1.3 Euro per Dollar. Hierdoor zal er (1 + </w:t>
      </w:r>
      <w:proofErr w:type="spellStart"/>
      <w:r>
        <w:t>i</w:t>
      </w:r>
      <w:r>
        <w:rPr>
          <w:vertAlign w:val="subscript"/>
        </w:rPr>
        <w:t>t</w:t>
      </w:r>
      <w:proofErr w:type="spellEnd"/>
      <w:r>
        <w:t>*) (F</w:t>
      </w:r>
      <w:r>
        <w:rPr>
          <w:vertAlign w:val="subscript"/>
        </w:rPr>
        <w:t>t</w:t>
      </w:r>
      <w:r>
        <w:t xml:space="preserve"> / </w:t>
      </w:r>
      <w:proofErr w:type="spellStart"/>
      <w:r>
        <w:t>S</w:t>
      </w:r>
      <w:r>
        <w:rPr>
          <w:vertAlign w:val="subscript"/>
        </w:rPr>
        <w:t>t</w:t>
      </w:r>
      <w:proofErr w:type="spellEnd"/>
      <w:r>
        <w:t xml:space="preserve">) = (1 + 0.05) (1.60 / 1.5) = </w:t>
      </w:r>
      <w:r w:rsidR="007D7A09">
        <w:t xml:space="preserve">EUR </w:t>
      </w:r>
      <w:r>
        <w:t xml:space="preserve">9375 nodig zijn om de lening van </w:t>
      </w:r>
      <w:r w:rsidR="007D7A09">
        <w:t xml:space="preserve">USD </w:t>
      </w:r>
      <w:r>
        <w:t xml:space="preserve">15.000 af te betalen. Daarbij betaalt hij aan het einde van de periode ook </w:t>
      </w:r>
      <w:r w:rsidR="00A865ED">
        <w:t xml:space="preserve">USD 750 rente. Dit is gelijk aan EUR </w:t>
      </w:r>
      <w:r w:rsidRPr="008B20DF">
        <w:rPr>
          <w:rFonts w:eastAsia="Times New Roman" w:cs="Times New Roman"/>
          <w:color w:val="000000"/>
          <w:lang w:eastAsia="nl-NL"/>
        </w:rPr>
        <w:t>468,7</w:t>
      </w:r>
      <w:r>
        <w:rPr>
          <w:rFonts w:eastAsia="Times New Roman" w:cs="Times New Roman"/>
          <w:color w:val="000000"/>
          <w:lang w:eastAsia="nl-NL"/>
        </w:rPr>
        <w:t>5</w:t>
      </w:r>
      <w:r>
        <w:t xml:space="preserve">. De totale winst voor de belegger is 100+ (10.000 </w:t>
      </w:r>
      <w:r w:rsidR="00A865ED">
        <w:t>–</w:t>
      </w:r>
      <w:r>
        <w:t xml:space="preserve"> 9375) - 468.75 = </w:t>
      </w:r>
      <w:r w:rsidR="00A865ED">
        <w:t xml:space="preserve">EUR </w:t>
      </w:r>
      <w:r>
        <w:t xml:space="preserve">256.25. Als de CIP niet opgaat, kunnen winsten en verliezen ontstaan. Als het CIP wel opgaat, zal een situatie zoals geschetst is in het vorige voorbeeld niet kunnen voorkomen. </w:t>
      </w:r>
    </w:p>
    <w:p w:rsidR="00FE60E8" w:rsidRDefault="00FE60E8" w:rsidP="00FE60E8">
      <w:pPr>
        <w:pStyle w:val="NoSpacing"/>
        <w:spacing w:line="360" w:lineRule="auto"/>
      </w:pPr>
    </w:p>
    <w:p w:rsidR="00FE60E8" w:rsidRDefault="00FE60E8" w:rsidP="00FE60E8">
      <w:pPr>
        <w:pStyle w:val="NoSpacing"/>
        <w:spacing w:line="360" w:lineRule="auto"/>
      </w:pPr>
      <w:r>
        <w:t xml:space="preserve">Dit brengt ons op de ongedekte interest pariteit, ofwel de </w:t>
      </w:r>
      <w:proofErr w:type="spellStart"/>
      <w:r>
        <w:t>Uncovered</w:t>
      </w:r>
      <w:proofErr w:type="spellEnd"/>
      <w:r>
        <w:t xml:space="preserve"> Interest Rate </w:t>
      </w:r>
      <w:proofErr w:type="spellStart"/>
      <w:r>
        <w:t>Parity</w:t>
      </w:r>
      <w:proofErr w:type="spellEnd"/>
      <w:r>
        <w:t xml:space="preserve"> (UIP). Deze lijkt erg op de gedekte interestpariteit. In het geval van UIP is er echter geen contract die het risico op wisselkoersresultaten wegneemt. Het gaat er</w:t>
      </w:r>
      <w:r w:rsidR="00A865ED">
        <w:t xml:space="preserve"> </w:t>
      </w:r>
      <w:r>
        <w:t xml:space="preserve">om dat met ontvangen liquiditeiten uit een aangegane lening in valuta A een lening uitgeven kan worden in valuta B, maar hier geen winst op </w:t>
      </w:r>
      <w:r w:rsidR="00837461">
        <w:t>behaald kan worden</w:t>
      </w:r>
      <w:r>
        <w:t>. Volgens UIP heffen rente en wisselkoersen elkaar op. Dat wil zeggen dat het verschil in rentestanden word gecompenseerd door de verandering in wisselkoersen. Verwachtingen kunnen op deze manier niet direct worden geobserveerd, maar het UIP geeft impliciet wel weer wat de markt verwacht</w:t>
      </w:r>
      <w:r>
        <w:rPr>
          <w:rStyle w:val="FootnoteReference"/>
        </w:rPr>
        <w:footnoteReference w:id="50"/>
      </w:r>
      <w:r>
        <w:t xml:space="preserve">. </w:t>
      </w:r>
    </w:p>
    <w:p w:rsidR="00837461" w:rsidRDefault="00837461">
      <w:pPr>
        <w:rPr>
          <w:rFonts w:ascii="Calibri" w:eastAsia="Calibri" w:hAnsi="Calibri" w:cs="Arial"/>
        </w:rPr>
      </w:pPr>
      <w:r>
        <w:br w:type="page"/>
      </w:r>
    </w:p>
    <w:p w:rsidR="00FE60E8" w:rsidRDefault="00837461" w:rsidP="00FE60E8">
      <w:pPr>
        <w:pStyle w:val="NoSpacing"/>
        <w:spacing w:line="360" w:lineRule="auto"/>
      </w:pPr>
      <w:r>
        <w:lastRenderedPageBreak/>
        <w:t>U</w:t>
      </w:r>
      <w:r w:rsidR="00FE60E8">
        <w:t>IP kunnen we definiëren</w:t>
      </w:r>
      <w:r>
        <w:t xml:space="preserve"> met</w:t>
      </w:r>
      <w:r w:rsidR="00FE60E8">
        <w:t xml:space="preserve"> de volgende formule:</w:t>
      </w:r>
    </w:p>
    <w:p w:rsidR="00FE60E8" w:rsidRPr="002D5DC5" w:rsidRDefault="00FE60E8" w:rsidP="00FE60E8">
      <w:pPr>
        <w:pStyle w:val="NoSpacing"/>
        <w:spacing w:line="360" w:lineRule="auto"/>
      </w:pPr>
    </w:p>
    <w:p w:rsidR="00FE60E8" w:rsidRDefault="00656458" w:rsidP="00FE60E8">
      <w:pPr>
        <w:pStyle w:val="NoSpacing"/>
        <w:spacing w:line="360" w:lineRule="auto"/>
        <w:rPr>
          <w:lang w:val="en-US"/>
        </w:rPr>
      </w:pPr>
      <w:r w:rsidRPr="00656458">
        <w:rPr>
          <w:lang w:val="en-US"/>
        </w:rPr>
        <w:t>[</w:t>
      </w:r>
      <w:r>
        <w:rPr>
          <w:lang w:val="en-US"/>
        </w:rPr>
        <w:t>4.1.</w:t>
      </w:r>
      <w:r w:rsidRPr="00656458">
        <w:rPr>
          <w:lang w:val="en-US"/>
        </w:rPr>
        <w:t>2]</w:t>
      </w:r>
      <w:r w:rsidR="00FE60E8" w:rsidRPr="00B66E78">
        <w:rPr>
          <w:lang w:val="en-US"/>
        </w:rPr>
        <w:tab/>
      </w:r>
      <w:r w:rsidR="00FE60E8" w:rsidRPr="002D5DC5">
        <w:rPr>
          <w:lang w:val="en-US"/>
        </w:rPr>
        <w:t>1 + i</w:t>
      </w:r>
      <w:r w:rsidR="00FE60E8" w:rsidRPr="002D5DC5">
        <w:rPr>
          <w:vertAlign w:val="subscript"/>
          <w:lang w:val="en-US"/>
        </w:rPr>
        <w:t>t</w:t>
      </w:r>
      <w:r w:rsidR="00FE60E8" w:rsidRPr="002D5DC5">
        <w:rPr>
          <w:lang w:val="en-US"/>
        </w:rPr>
        <w:t xml:space="preserve"> = (1 + i</w:t>
      </w:r>
      <w:r w:rsidR="00FE60E8" w:rsidRPr="002D5DC5">
        <w:rPr>
          <w:vertAlign w:val="subscript"/>
          <w:lang w:val="en-US"/>
        </w:rPr>
        <w:t>t</w:t>
      </w:r>
      <w:r w:rsidR="00FE60E8" w:rsidRPr="002D5DC5">
        <w:rPr>
          <w:lang w:val="en-US"/>
        </w:rPr>
        <w:t>*) (</w:t>
      </w:r>
      <w:proofErr w:type="gramStart"/>
      <w:r w:rsidR="00FE60E8" w:rsidRPr="002D5DC5">
        <w:rPr>
          <w:lang w:val="en-US"/>
        </w:rPr>
        <w:t>E</w:t>
      </w:r>
      <w:r w:rsidR="00FE60E8" w:rsidRPr="002D5DC5">
        <w:rPr>
          <w:vertAlign w:val="subscript"/>
          <w:lang w:val="en-US"/>
        </w:rPr>
        <w:t>t</w:t>
      </w:r>
      <w:r w:rsidR="00FE60E8" w:rsidRPr="002D5DC5">
        <w:rPr>
          <w:lang w:val="en-US"/>
        </w:rPr>
        <w:t>[</w:t>
      </w:r>
      <w:proofErr w:type="gramEnd"/>
      <w:r w:rsidR="00FE60E8" w:rsidRPr="002D5DC5">
        <w:rPr>
          <w:lang w:val="en-US"/>
        </w:rPr>
        <w:t>S</w:t>
      </w:r>
      <w:r w:rsidR="00FE60E8" w:rsidRPr="002D5DC5">
        <w:rPr>
          <w:vertAlign w:val="subscript"/>
          <w:lang w:val="en-US"/>
        </w:rPr>
        <w:t>t+1</w:t>
      </w:r>
      <w:r w:rsidR="00FE60E8" w:rsidRPr="002D5DC5">
        <w:rPr>
          <w:lang w:val="en-US"/>
        </w:rPr>
        <w:t>] / S</w:t>
      </w:r>
      <w:r w:rsidR="00FE60E8" w:rsidRPr="002D5DC5">
        <w:rPr>
          <w:vertAlign w:val="subscript"/>
          <w:lang w:val="en-US"/>
        </w:rPr>
        <w:t>t</w:t>
      </w:r>
      <w:r w:rsidR="00FE60E8" w:rsidRPr="002D5DC5">
        <w:rPr>
          <w:lang w:val="en-US"/>
        </w:rPr>
        <w:t>)</w:t>
      </w:r>
    </w:p>
    <w:p w:rsidR="00FE60E8" w:rsidRDefault="00FE60E8" w:rsidP="00FE60E8">
      <w:pPr>
        <w:pStyle w:val="NoSpacing"/>
        <w:spacing w:line="360" w:lineRule="auto"/>
        <w:rPr>
          <w:lang w:val="en-US"/>
        </w:rPr>
      </w:pPr>
      <w:r>
        <w:rPr>
          <w:lang w:val="en-US"/>
        </w:rPr>
        <w:tab/>
      </w:r>
    </w:p>
    <w:p w:rsidR="00FE60E8" w:rsidRDefault="00FE60E8" w:rsidP="00FE60E8">
      <w:pPr>
        <w:pStyle w:val="NoSpacing"/>
        <w:spacing w:line="360" w:lineRule="auto"/>
      </w:pPr>
      <w:proofErr w:type="spellStart"/>
      <w:proofErr w:type="gramStart"/>
      <w:r>
        <w:t>i</w:t>
      </w:r>
      <w:r>
        <w:rPr>
          <w:vertAlign w:val="subscript"/>
        </w:rPr>
        <w:t>t</w:t>
      </w:r>
      <w:proofErr w:type="spellEnd"/>
      <w:proofErr w:type="gramEnd"/>
      <w:r>
        <w:rPr>
          <w:vertAlign w:val="subscript"/>
        </w:rPr>
        <w:t xml:space="preserve"> </w:t>
      </w:r>
      <w:r>
        <w:rPr>
          <w:vertAlign w:val="subscript"/>
        </w:rPr>
        <w:tab/>
      </w:r>
      <w:r>
        <w:t>= de interest op datum t van een valuta A lening met een duur van een periode</w:t>
      </w:r>
    </w:p>
    <w:p w:rsidR="00FE60E8" w:rsidRDefault="00FE60E8" w:rsidP="00FE60E8">
      <w:pPr>
        <w:pStyle w:val="NoSpacing"/>
        <w:spacing w:line="360" w:lineRule="auto"/>
      </w:pPr>
      <w:proofErr w:type="spellStart"/>
      <w:proofErr w:type="gramStart"/>
      <w:r>
        <w:t>i</w:t>
      </w:r>
      <w:r>
        <w:rPr>
          <w:vertAlign w:val="subscript"/>
        </w:rPr>
        <w:t>t</w:t>
      </w:r>
      <w:proofErr w:type="spellEnd"/>
      <w:proofErr w:type="gramEnd"/>
      <w:r>
        <w:t xml:space="preserve">* </w:t>
      </w:r>
      <w:r>
        <w:tab/>
        <w:t xml:space="preserve">= de interest op datum t van een valuta B lening </w:t>
      </w:r>
    </w:p>
    <w:p w:rsidR="00FE60E8" w:rsidRPr="005F784B" w:rsidRDefault="00FE60E8" w:rsidP="00FE60E8">
      <w:pPr>
        <w:pStyle w:val="NoSpacing"/>
        <w:spacing w:line="360" w:lineRule="auto"/>
      </w:pPr>
      <w:proofErr w:type="spellStart"/>
      <w:r w:rsidRPr="005F784B">
        <w:t>S</w:t>
      </w:r>
      <w:r w:rsidRPr="005F784B">
        <w:rPr>
          <w:vertAlign w:val="subscript"/>
        </w:rPr>
        <w:t>t</w:t>
      </w:r>
      <w:proofErr w:type="spellEnd"/>
      <w:r w:rsidRPr="005F784B">
        <w:rPr>
          <w:vertAlign w:val="subscript"/>
        </w:rPr>
        <w:t xml:space="preserve"> </w:t>
      </w:r>
      <w:r w:rsidRPr="005F784B">
        <w:rPr>
          <w:vertAlign w:val="subscript"/>
        </w:rPr>
        <w:tab/>
      </w:r>
      <w:r w:rsidRPr="005F784B">
        <w:t>= Spot Exchange Rate (aantal eenheden A per eenheid B)</w:t>
      </w:r>
    </w:p>
    <w:p w:rsidR="00FE60E8" w:rsidRDefault="00FE60E8" w:rsidP="00FE60E8">
      <w:pPr>
        <w:pStyle w:val="NoSpacing"/>
        <w:spacing w:line="360" w:lineRule="auto"/>
      </w:pPr>
      <w:r w:rsidRPr="003558DE">
        <w:t>E</w:t>
      </w:r>
      <w:r w:rsidRPr="003558DE">
        <w:rPr>
          <w:vertAlign w:val="subscript"/>
        </w:rPr>
        <w:t>t</w:t>
      </w:r>
      <w:r w:rsidRPr="003558DE">
        <w:t>[</w:t>
      </w:r>
      <w:proofErr w:type="spellStart"/>
      <w:r w:rsidRPr="003558DE">
        <w:t>S</w:t>
      </w:r>
      <w:r w:rsidRPr="003558DE">
        <w:rPr>
          <w:vertAlign w:val="subscript"/>
        </w:rPr>
        <w:t>t</w:t>
      </w:r>
      <w:proofErr w:type="spellEnd"/>
      <w:r w:rsidRPr="003558DE">
        <w:rPr>
          <w:vertAlign w:val="subscript"/>
        </w:rPr>
        <w:t>+1</w:t>
      </w:r>
      <w:r w:rsidRPr="003558DE">
        <w:t>]</w:t>
      </w:r>
      <w:r w:rsidRPr="003558DE">
        <w:tab/>
        <w:t xml:space="preserve">= Verwachte </w:t>
      </w:r>
      <w:r>
        <w:t>toekomstige wisselkoers</w:t>
      </w:r>
      <w:r w:rsidRPr="003558DE">
        <w:t xml:space="preserve"> over een periode</w:t>
      </w:r>
      <w:r>
        <w:t>, welke gelijk is aan de werkelijke toekomstige waarde F</w:t>
      </w:r>
      <w:r>
        <w:rPr>
          <w:vertAlign w:val="subscript"/>
        </w:rPr>
        <w:t>t</w:t>
      </w:r>
      <w:r>
        <w:t xml:space="preserve"> ingeval van risiconeutrale verwachtingen. </w:t>
      </w:r>
    </w:p>
    <w:p w:rsidR="00A865ED" w:rsidRPr="003558DE" w:rsidRDefault="00A865ED" w:rsidP="00FE60E8">
      <w:pPr>
        <w:pStyle w:val="NoSpacing"/>
        <w:spacing w:line="360" w:lineRule="auto"/>
      </w:pPr>
    </w:p>
    <w:p w:rsidR="00FE60E8" w:rsidRDefault="00FE60E8" w:rsidP="00FE60E8">
      <w:pPr>
        <w:pStyle w:val="NoSpacing"/>
        <w:spacing w:line="360" w:lineRule="auto"/>
      </w:pPr>
      <w:r>
        <w:t>Zoals eerder gesteld worden verschillen in rentes gecompenseerd door veranderingen in wisselkoersen. Valuta A is de Dollar, valuta B de Euro. Als de rente op een dollarlening hoger is dan de rente op een eurolening, dan zal de Euro appreciëren (meer waard worden ten opzichte van de Dollar). Op deze manier is voor een Amerikaanse belegger de rente in de Verenigde Staten gelijk aan de rente in Europa</w:t>
      </w:r>
      <w:r w:rsidR="00837461">
        <w:t>,</w:t>
      </w:r>
      <w:r>
        <w:t xml:space="preserve"> plus een valutawinst op de Euro. </w:t>
      </w:r>
    </w:p>
    <w:p w:rsidR="00FE60E8" w:rsidRPr="00FE60E8" w:rsidRDefault="00FE60E8" w:rsidP="00FE60E8">
      <w:pPr>
        <w:pStyle w:val="NoSpacing"/>
        <w:spacing w:line="360" w:lineRule="auto"/>
      </w:pPr>
    </w:p>
    <w:p w:rsidR="00FE60E8" w:rsidRDefault="002D0EA6" w:rsidP="00FE60E8">
      <w:pPr>
        <w:pStyle w:val="NoSpacing"/>
        <w:spacing w:line="360" w:lineRule="auto"/>
      </w:pPr>
      <w:r>
        <w:t>Concluderend</w:t>
      </w:r>
      <w:r w:rsidR="00FE60E8">
        <w:t xml:space="preserve"> houd</w:t>
      </w:r>
      <w:r>
        <w:t>t</w:t>
      </w:r>
      <w:r w:rsidR="00FE60E8">
        <w:t xml:space="preserve"> UIP dus in dat op het moment dat er een lening op tijdstip 0 word aangegaan aan de hand van de rentestanden en de huidige wisselkoers voorspeld kan worden wat de verandering in wisselkoers zal </w:t>
      </w:r>
      <w:r w:rsidR="00A865ED">
        <w:t>zijn</w:t>
      </w:r>
      <w:r w:rsidR="00FE60E8">
        <w:t xml:space="preserve">. Er is immers sprake van landen met een identiek risicopatroon, volledige mobiliteit van kapitaal en rationele marktspelers. Het risico valt weg want er bestaat </w:t>
      </w:r>
      <w:r>
        <w:t xml:space="preserve">op basis van de theorie een eenduidig verband tussen rente en valutaresultaten. </w:t>
      </w:r>
      <w:r w:rsidR="00FE60E8">
        <w:t>Daar waar bij de CIP het risico wegvalt doordat met behulp van het model het juiste forward contract afgesproken kan worden, word bij de UIP het risico verwijderd door de interestpariteit</w:t>
      </w:r>
      <w:r w:rsidR="00FE60E8">
        <w:rPr>
          <w:rStyle w:val="FootnoteReference"/>
        </w:rPr>
        <w:footnoteReference w:id="51"/>
      </w:r>
      <w:r w:rsidR="00FE60E8">
        <w:t>.</w:t>
      </w:r>
    </w:p>
    <w:p w:rsidR="00A865ED" w:rsidRDefault="00A865ED">
      <w:pPr>
        <w:rPr>
          <w:rFonts w:asciiTheme="majorHAnsi" w:eastAsiaTheme="majorEastAsia" w:hAnsiTheme="majorHAnsi" w:cstheme="majorBidi"/>
          <w:b/>
          <w:bCs/>
          <w:color w:val="4F81BD" w:themeColor="accent1"/>
          <w:sz w:val="26"/>
          <w:szCs w:val="26"/>
        </w:rPr>
      </w:pPr>
      <w:r>
        <w:br w:type="page"/>
      </w:r>
    </w:p>
    <w:p w:rsidR="00467176" w:rsidRPr="006003EC" w:rsidRDefault="00467176" w:rsidP="00751820">
      <w:pPr>
        <w:pStyle w:val="Heading2"/>
        <w:numPr>
          <w:ilvl w:val="1"/>
          <w:numId w:val="4"/>
        </w:numPr>
      </w:pPr>
      <w:bookmarkStart w:id="16" w:name="_Toc299359019"/>
      <w:r>
        <w:lastRenderedPageBreak/>
        <w:t>De voorspellingswaarde door de jaren heen</w:t>
      </w:r>
      <w:bookmarkEnd w:id="16"/>
    </w:p>
    <w:p w:rsidR="00656458" w:rsidRPr="00BD13CA" w:rsidRDefault="00467176" w:rsidP="00467176">
      <w:pPr>
        <w:pStyle w:val="NoSpacing"/>
        <w:spacing w:line="360" w:lineRule="auto"/>
      </w:pPr>
      <w:r w:rsidRPr="0041344D">
        <w:t>Nu we weten wat de interest pariteit inhoud</w:t>
      </w:r>
      <w:r w:rsidR="003A7FBD">
        <w:t>,</w:t>
      </w:r>
      <w:r w:rsidRPr="0041344D">
        <w:t xml:space="preserve"> kunnen we kijken naar de voorspellende waarde die het model heeft. De voorspellingswaarde geeft aan welk percentage van de veranderingen verklaard kan wor</w:t>
      </w:r>
      <w:r w:rsidR="005214C6">
        <w:t xml:space="preserve">den aan de hand van het model.  </w:t>
      </w:r>
      <w:r w:rsidRPr="0041344D">
        <w:t xml:space="preserve">Er wordt hier al vele jaren lang onderzoek naar gedaan. Zo werd er in de jaren tachtig vele keren geconcludeerd dat UIP waardeloos is. </w:t>
      </w:r>
      <w:r w:rsidRPr="00BD13CA">
        <w:t xml:space="preserve">Chinn en Meredith (2004) begonnen hun artikel dan ook met de volgende woorden: </w:t>
      </w:r>
    </w:p>
    <w:p w:rsidR="002D0EA6" w:rsidRPr="00BD13CA" w:rsidRDefault="002D0EA6" w:rsidP="00467176">
      <w:pPr>
        <w:pStyle w:val="NoSpacing"/>
        <w:spacing w:line="360" w:lineRule="auto"/>
      </w:pPr>
    </w:p>
    <w:p w:rsidR="00467176" w:rsidRPr="002D0EA6" w:rsidRDefault="00467176" w:rsidP="002D0EA6">
      <w:pPr>
        <w:pStyle w:val="NoSpacing"/>
        <w:spacing w:line="360" w:lineRule="auto"/>
        <w:jc w:val="center"/>
        <w:rPr>
          <w:i/>
          <w:lang w:val="en-US"/>
        </w:rPr>
      </w:pPr>
      <w:r w:rsidRPr="002D0EA6">
        <w:rPr>
          <w:i/>
          <w:lang w:val="en-US"/>
        </w:rPr>
        <w:t>“Few propositions are more widely accepted in international economics than that uncovered interest parity (UIP) is at best useless – or at worst perverse – as a predictor of future exchange rate movements</w:t>
      </w:r>
      <w:r w:rsidRPr="002D0EA6">
        <w:rPr>
          <w:rStyle w:val="FootnoteReference"/>
          <w:i/>
        </w:rPr>
        <w:footnoteReference w:id="52"/>
      </w:r>
      <w:r w:rsidRPr="002D0EA6">
        <w:rPr>
          <w:i/>
          <w:lang w:val="en-US"/>
        </w:rPr>
        <w:t>”.</w:t>
      </w:r>
    </w:p>
    <w:p w:rsidR="00467176" w:rsidRPr="00467176" w:rsidRDefault="00467176" w:rsidP="00467176">
      <w:pPr>
        <w:pStyle w:val="NoSpacing"/>
        <w:spacing w:line="360" w:lineRule="auto"/>
        <w:rPr>
          <w:lang w:val="en-US"/>
        </w:rPr>
      </w:pPr>
    </w:p>
    <w:p w:rsidR="00656458" w:rsidRDefault="00467176" w:rsidP="00467176">
      <w:pPr>
        <w:pStyle w:val="NoSpacing"/>
        <w:spacing w:line="360" w:lineRule="auto"/>
      </w:pPr>
      <w:r w:rsidRPr="0041344D">
        <w:t xml:space="preserve">Bij de onderbouwing van deze quote verwijzen Chinn en Meredith naar vele andere onderzoeken, zoals </w:t>
      </w:r>
      <w:proofErr w:type="spellStart"/>
      <w:r w:rsidRPr="0041344D">
        <w:t>Bilson</w:t>
      </w:r>
      <w:proofErr w:type="spellEnd"/>
      <w:r w:rsidRPr="0041344D">
        <w:t xml:space="preserve"> (1981), </w:t>
      </w:r>
      <w:proofErr w:type="spellStart"/>
      <w:r w:rsidRPr="0041344D">
        <w:t>Longworth</w:t>
      </w:r>
      <w:proofErr w:type="spellEnd"/>
      <w:r w:rsidRPr="0041344D">
        <w:t xml:space="preserve"> (1981), Froot en Thaler (1990) en Meese en Rogoff (1983)</w:t>
      </w:r>
      <w:r w:rsidRPr="00CB43E5">
        <w:rPr>
          <w:rStyle w:val="FootnoteReference"/>
        </w:rPr>
        <w:footnoteReference w:id="53"/>
      </w:r>
      <w:r w:rsidRPr="00CB43E5">
        <w:rPr>
          <w:vertAlign w:val="superscript"/>
        </w:rPr>
        <w:t xml:space="preserve"> </w:t>
      </w:r>
      <w:r w:rsidRPr="0041344D">
        <w:t>Dit laatste onderzoek wil ik als eerste kort uitlichten omdat Meese en Rogoff een model naar voren brengen, dat het beste gebruikt zal kunnen worden voor het voorspellen van wisselkoeren. Jarenlang heeft men aan dit onderzoek gerefereerd en het niet kunnen ontkrachten. Er zijn echter een aantal opmerkelijk</w:t>
      </w:r>
      <w:r w:rsidR="003A7FBD">
        <w:t>e</w:t>
      </w:r>
      <w:r w:rsidRPr="0041344D">
        <w:t xml:space="preserve"> dingen aan het onderzoek. Meese en Rogoff hebben de verklaringswaarde van verschillende voorspellingsmodellen getest. Dit zijn de volgende modellen: het </w:t>
      </w:r>
      <w:proofErr w:type="spellStart"/>
      <w:r w:rsidRPr="0041344D">
        <w:t>Flexible</w:t>
      </w:r>
      <w:proofErr w:type="spellEnd"/>
      <w:r w:rsidRPr="0041344D">
        <w:t xml:space="preserve"> </w:t>
      </w:r>
      <w:proofErr w:type="spellStart"/>
      <w:r w:rsidRPr="0041344D">
        <w:t>Price</w:t>
      </w:r>
      <w:proofErr w:type="spellEnd"/>
      <w:r w:rsidRPr="0041344D">
        <w:t xml:space="preserve"> </w:t>
      </w:r>
      <w:proofErr w:type="spellStart"/>
      <w:r w:rsidRPr="0041344D">
        <w:t>Monetary</w:t>
      </w:r>
      <w:proofErr w:type="spellEnd"/>
      <w:r w:rsidRPr="0041344D">
        <w:t xml:space="preserve"> model, het </w:t>
      </w:r>
      <w:proofErr w:type="spellStart"/>
      <w:r w:rsidRPr="0041344D">
        <w:t>Sticky</w:t>
      </w:r>
      <w:proofErr w:type="spellEnd"/>
      <w:r w:rsidRPr="0041344D">
        <w:t xml:space="preserve"> </w:t>
      </w:r>
      <w:proofErr w:type="spellStart"/>
      <w:r w:rsidRPr="0041344D">
        <w:t>Price</w:t>
      </w:r>
      <w:proofErr w:type="spellEnd"/>
      <w:r w:rsidRPr="0041344D">
        <w:t xml:space="preserve"> </w:t>
      </w:r>
      <w:proofErr w:type="spellStart"/>
      <w:r w:rsidRPr="0041344D">
        <w:t>Monetary</w:t>
      </w:r>
      <w:proofErr w:type="spellEnd"/>
      <w:r w:rsidRPr="0041344D">
        <w:t xml:space="preserve"> model en het </w:t>
      </w:r>
      <w:proofErr w:type="spellStart"/>
      <w:r w:rsidRPr="0041344D">
        <w:t>Sticky</w:t>
      </w:r>
      <w:proofErr w:type="spellEnd"/>
      <w:r w:rsidRPr="0041344D">
        <w:t xml:space="preserve"> </w:t>
      </w:r>
      <w:proofErr w:type="spellStart"/>
      <w:r w:rsidRPr="0041344D">
        <w:t>Price</w:t>
      </w:r>
      <w:proofErr w:type="spellEnd"/>
      <w:r w:rsidRPr="0041344D">
        <w:t xml:space="preserve"> </w:t>
      </w:r>
      <w:proofErr w:type="spellStart"/>
      <w:r w:rsidRPr="0041344D">
        <w:t>Asset</w:t>
      </w:r>
      <w:proofErr w:type="spellEnd"/>
      <w:r w:rsidRPr="0041344D">
        <w:t xml:space="preserve"> model. Deze modellen werden vergeleken met de Random Walk. De Random Walk houdt in dat de wisselkoers van vandaag gelijk is aan die van morgen. De wisselkoers va</w:t>
      </w:r>
      <w:r w:rsidR="003A7FBD">
        <w:t>n morgen is op haar beurt</w:t>
      </w:r>
      <w:r w:rsidRPr="0041344D">
        <w:t xml:space="preserve"> weer gelijk aan dat van overmorgen. Dus als de Euro</w:t>
      </w:r>
      <w:r w:rsidR="003A7FBD">
        <w:t>/</w:t>
      </w:r>
      <w:r w:rsidRPr="0041344D">
        <w:t>Dollar koers op maandag 1:2 is en we gebruiken de Random Walk, dan voorspellen we dat dinsdag en woensdag de wisselkoers ook 1:2 is. Echter</w:t>
      </w:r>
      <w:r w:rsidR="00557024">
        <w:t>,</w:t>
      </w:r>
      <w:r w:rsidRPr="0041344D">
        <w:t xml:space="preserve"> als blijk dat dinsdag de wisselkoers 1:1.5 is</w:t>
      </w:r>
      <w:r w:rsidR="00557024">
        <w:t>,</w:t>
      </w:r>
      <w:r w:rsidRPr="0041344D">
        <w:t xml:space="preserve"> dan zullen we de voorspelde koers voor woensdag op 1:1.5 zetten. De Random Wal</w:t>
      </w:r>
      <w:r w:rsidR="002D0EA6">
        <w:t>k is dus een model dat voorspelt</w:t>
      </w:r>
      <w:r w:rsidR="003A7FBD">
        <w:t>,</w:t>
      </w:r>
      <w:r w:rsidRPr="0041344D">
        <w:t xml:space="preserve"> dat er geen veranderingen zullen </w:t>
      </w:r>
      <w:r>
        <w:t>optreden</w:t>
      </w:r>
      <w:r w:rsidRPr="0041344D">
        <w:t xml:space="preserve"> en al helemaal geen shocks. Mochten er wel verandering optreden dan zijn deze random. Hoewel dit model als beste predictie wordt aangemerkt, heeft</w:t>
      </w:r>
      <w:r>
        <w:t xml:space="preserve"> het</w:t>
      </w:r>
      <w:r w:rsidRPr="0041344D">
        <w:t xml:space="preserve"> geen grote verklaringswaarde. </w:t>
      </w:r>
      <w:r w:rsidR="008F468B">
        <w:t>Dit is duidelijk te zien in de onderstaande tabel</w:t>
      </w:r>
      <w:r w:rsidR="00656458">
        <w:t xml:space="preserve"> (Figuur 4)</w:t>
      </w:r>
      <w:r w:rsidR="008F468B">
        <w:rPr>
          <w:rStyle w:val="FootnoteReference"/>
        </w:rPr>
        <w:footnoteReference w:id="54"/>
      </w:r>
      <w:r w:rsidR="008F468B">
        <w:t xml:space="preserve">. De </w:t>
      </w:r>
      <w:proofErr w:type="spellStart"/>
      <w:r w:rsidR="008F468B">
        <w:t>erro</w:t>
      </w:r>
      <w:r w:rsidR="00557024">
        <w:t>r</w:t>
      </w:r>
      <w:r w:rsidR="008F468B">
        <w:t>s</w:t>
      </w:r>
      <w:proofErr w:type="spellEnd"/>
      <w:r w:rsidR="008F468B">
        <w:t xml:space="preserve"> </w:t>
      </w:r>
      <w:r w:rsidR="00A865ED">
        <w:t xml:space="preserve">(afwijkingen van de trend) </w:t>
      </w:r>
      <w:r w:rsidR="008F468B">
        <w:t xml:space="preserve">zijn bij het model van de Random Walk voor alle looptijden en valuta het kleinst. </w:t>
      </w:r>
    </w:p>
    <w:p w:rsidR="00656458" w:rsidRDefault="00656458">
      <w:pPr>
        <w:rPr>
          <w:rFonts w:ascii="Calibri" w:eastAsia="Calibri" w:hAnsi="Calibri" w:cs="Arial"/>
        </w:rPr>
      </w:pPr>
      <w:r>
        <w:br w:type="page"/>
      </w:r>
    </w:p>
    <w:p w:rsidR="00656458" w:rsidRDefault="00656458" w:rsidP="00467176">
      <w:pPr>
        <w:pStyle w:val="NoSpacing"/>
        <w:spacing w:line="360" w:lineRule="auto"/>
      </w:pPr>
      <w:r>
        <w:lastRenderedPageBreak/>
        <w:t>Figuur 4</w:t>
      </w:r>
    </w:p>
    <w:p w:rsidR="008F468B" w:rsidRDefault="008F468B" w:rsidP="00467176">
      <w:pPr>
        <w:pStyle w:val="NoSpacing"/>
        <w:spacing w:line="360" w:lineRule="auto"/>
      </w:pPr>
      <w:r>
        <w:rPr>
          <w:noProof/>
          <w:lang w:val="en-US"/>
        </w:rPr>
        <w:drawing>
          <wp:inline distT="0" distB="0" distL="0" distR="0">
            <wp:extent cx="5438775" cy="4191000"/>
            <wp:effectExtent l="19050" t="0" r="9525" b="0"/>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5438775" cy="4191000"/>
                    </a:xfrm>
                    <a:prstGeom prst="rect">
                      <a:avLst/>
                    </a:prstGeom>
                    <a:noFill/>
                    <a:ln w="9525">
                      <a:noFill/>
                      <a:miter lim="800000"/>
                      <a:headEnd/>
                      <a:tailEnd/>
                    </a:ln>
                  </pic:spPr>
                </pic:pic>
              </a:graphicData>
            </a:graphic>
          </wp:inline>
        </w:drawing>
      </w:r>
    </w:p>
    <w:p w:rsidR="00467176" w:rsidRPr="0041344D" w:rsidRDefault="00467176" w:rsidP="00467176">
      <w:pPr>
        <w:pStyle w:val="NoSpacing"/>
        <w:spacing w:line="360" w:lineRule="auto"/>
      </w:pPr>
      <w:r w:rsidRPr="0041344D">
        <w:t xml:space="preserve">Dit houdt in dat volgens het onderzoek van Meese en Rogoff toekomstige wisselkoersen vrijwel onvoorspelbaar zijn. Verder schrijven zij in hun artikel dat een van de verklaringen voor de lage verklaringswaarde van de geteste modellen een verkeerde specificatie van het model kan zijn. Er zullen dan </w:t>
      </w:r>
      <w:r w:rsidR="003A7FBD">
        <w:t>‘</w:t>
      </w:r>
      <w:proofErr w:type="spellStart"/>
      <w:r w:rsidRPr="0041344D">
        <w:t>omitted</w:t>
      </w:r>
      <w:proofErr w:type="spellEnd"/>
      <w:r w:rsidRPr="0041344D">
        <w:t xml:space="preserve"> variables</w:t>
      </w:r>
      <w:r w:rsidR="003A7FBD">
        <w:t>’</w:t>
      </w:r>
      <w:r w:rsidRPr="0041344D">
        <w:t xml:space="preserve"> zijn. Dit zijn variabelen die van invloed zijn op de toekomstige wisselkoers, maar die niet opgenomen zijn in het model. Een goede manier om er achter te komen of dit daadwerkelijk het probleem is, is het examineren van de bouwstenen van de modellen. Een van deze bouwstenen is de UIP. De UIP is </w:t>
      </w:r>
      <w:r w:rsidR="003A7FBD">
        <w:t>d</w:t>
      </w:r>
      <w:r w:rsidRPr="0041344D">
        <w:t>us als assumptie aangenomen in de mod</w:t>
      </w:r>
      <w:r w:rsidR="00656458">
        <w:t>ellen. Het feit dat de modellen</w:t>
      </w:r>
      <w:r w:rsidRPr="0041344D">
        <w:t xml:space="preserve"> waaraan het UIP ten grondslag ligt slecht presteren suggereert dat UIP geen volledig model is met een volledige verklaringswaarde. Daarbij zijn er in vele voorgaande onderzoeken geen bevredigende verklaringen voor de hoogtes van risicopremies gevonden. Als UIP geldt, zal dit model de hoogtes moeten kunnen verklaren. Op deze manier laten Meese en Rogoff zien dat het UIP bij het voorspellen van wisselkoersen weinig nut heeft.</w:t>
      </w:r>
    </w:p>
    <w:p w:rsidR="00467176" w:rsidRPr="0041344D" w:rsidRDefault="00467176" w:rsidP="00467176">
      <w:pPr>
        <w:pStyle w:val="NoSpacing"/>
        <w:spacing w:line="360" w:lineRule="auto"/>
      </w:pPr>
      <w:r w:rsidRPr="0041344D">
        <w:t>In 1990 zijn er twee belangrijke onderzoeken gedaan. Het eerste is van Froot en Thaler (1990)</w:t>
      </w:r>
      <w:r w:rsidRPr="00CB43E5">
        <w:rPr>
          <w:rStyle w:val="FootnoteReference"/>
        </w:rPr>
        <w:footnoteReference w:id="55"/>
      </w:r>
      <w:r w:rsidRPr="0041344D">
        <w:t xml:space="preserve">. De heren laten zien dat er in sommige gevallen van hun onderzoek een juist teken wordt gegeven. </w:t>
      </w:r>
      <w:r w:rsidR="00A865ED">
        <w:t xml:space="preserve">Er kan dus </w:t>
      </w:r>
      <w:r w:rsidRPr="0041344D">
        <w:t xml:space="preserve">voorspeld </w:t>
      </w:r>
      <w:r w:rsidR="00A865ED">
        <w:t xml:space="preserve">worden </w:t>
      </w:r>
      <w:r w:rsidRPr="0041344D">
        <w:t xml:space="preserve">of er sprake is van een toekomstige winst of verlies. Echter er is geen </w:t>
      </w:r>
      <w:r w:rsidRPr="0041344D">
        <w:lastRenderedPageBreak/>
        <w:t>enkel resultaat dat aantoont dat het UIP ook daadwerkelijk nuttig is</w:t>
      </w:r>
      <w:r w:rsidR="00A865ED">
        <w:t xml:space="preserve"> bij de voorspelling van toekomstige wisselkoersen</w:t>
      </w:r>
      <w:r w:rsidRPr="0041344D">
        <w:t xml:space="preserve">. Froot en Thaler sluiten zich </w:t>
      </w:r>
      <w:r>
        <w:t>dan ook aan bij Meese en Rogoff en ontkennen het nut van het UIP</w:t>
      </w:r>
      <w:r w:rsidRPr="0041344D">
        <w:t xml:space="preserve">. </w:t>
      </w:r>
    </w:p>
    <w:p w:rsidR="00467176" w:rsidRPr="0041344D" w:rsidRDefault="00467176" w:rsidP="00467176">
      <w:pPr>
        <w:pStyle w:val="NoSpacing"/>
        <w:spacing w:line="360" w:lineRule="auto"/>
      </w:pPr>
      <w:r w:rsidRPr="0041344D">
        <w:t xml:space="preserve">Het tweede onderzoek in 1990 was dat van Fisher et </w:t>
      </w:r>
      <w:proofErr w:type="gramStart"/>
      <w:r w:rsidRPr="0041344D">
        <w:t>all</w:t>
      </w:r>
      <w:proofErr w:type="gramEnd"/>
      <w:r w:rsidRPr="0041344D">
        <w:t xml:space="preserve"> (1990)</w:t>
      </w:r>
      <w:r w:rsidRPr="00CB43E5">
        <w:rPr>
          <w:rStyle w:val="FootnoteReference"/>
        </w:rPr>
        <w:footnoteReference w:id="56"/>
      </w:r>
      <w:r>
        <w:t>. Zij concluderen</w:t>
      </w:r>
      <w:r w:rsidRPr="0041344D">
        <w:t xml:space="preserve"> dat UIP geen adequate verklaring geeft voor het verklaren van het gedrag van wisselkoersen. </w:t>
      </w:r>
      <w:r w:rsidR="00A865ED">
        <w:t xml:space="preserve">Echter, zij sluiten het </w:t>
      </w:r>
      <w:r w:rsidRPr="0041344D">
        <w:t>nut van UIP niet uit</w:t>
      </w:r>
      <w:r w:rsidR="00A865ED">
        <w:t>, maar geven</w:t>
      </w:r>
      <w:r w:rsidRPr="0041344D">
        <w:t xml:space="preserve"> slechts aan</w:t>
      </w:r>
      <w:r w:rsidR="00A865ED">
        <w:t>,</w:t>
      </w:r>
      <w:r w:rsidRPr="0041344D">
        <w:t xml:space="preserve"> dat een groot deel van de variantie in spot wisselkoersen gedreven worden door innovaties (nieuws)</w:t>
      </w:r>
      <w:r w:rsidRPr="00CB43E5">
        <w:rPr>
          <w:rStyle w:val="FootnoteReference"/>
        </w:rPr>
        <w:footnoteReference w:id="57"/>
      </w:r>
      <w:r w:rsidRPr="0041344D">
        <w:t xml:space="preserve">. </w:t>
      </w:r>
      <w:r>
        <w:t xml:space="preserve">Dit kunnen </w:t>
      </w:r>
      <w:r w:rsidRPr="0041344D">
        <w:t>daadwerkelijke technologische innovaties</w:t>
      </w:r>
      <w:r>
        <w:t xml:space="preserve"> zijn</w:t>
      </w:r>
      <w:r w:rsidRPr="0041344D">
        <w:t>,</w:t>
      </w:r>
      <w:r>
        <w:t xml:space="preserve"> maar ook</w:t>
      </w:r>
      <w:r w:rsidRPr="0041344D">
        <w:t xml:space="preserve"> aankondigingen van politiek beleid, rampen en oorlogen. Alles wat eerder niet verwacht of zeker was kan de wisselkoers beïnvloeden. UIP word niet meer </w:t>
      </w:r>
      <w:r>
        <w:t xml:space="preserve">geheel als nutteloos beschouwd, maar de bewezen verklaringskracht is nog steeds erg laag. </w:t>
      </w:r>
    </w:p>
    <w:p w:rsidR="00467176" w:rsidRPr="0041344D" w:rsidRDefault="00467176" w:rsidP="00467176">
      <w:pPr>
        <w:pStyle w:val="NoSpacing"/>
        <w:spacing w:line="360" w:lineRule="auto"/>
      </w:pPr>
    </w:p>
    <w:p w:rsidR="00842BA2" w:rsidRDefault="00467176" w:rsidP="00467176">
      <w:pPr>
        <w:pStyle w:val="NoSpacing"/>
        <w:spacing w:line="360" w:lineRule="auto"/>
      </w:pPr>
      <w:r w:rsidRPr="0041344D">
        <w:t xml:space="preserve">In </w:t>
      </w:r>
      <w:r w:rsidRPr="00656458">
        <w:t xml:space="preserve">hoofdstuk </w:t>
      </w:r>
      <w:r w:rsidR="00656458" w:rsidRPr="00656458">
        <w:t>3.2</w:t>
      </w:r>
      <w:r w:rsidRPr="0041344D">
        <w:t xml:space="preserve"> </w:t>
      </w:r>
      <w:r w:rsidR="00656458">
        <w:t>heb ik</w:t>
      </w:r>
      <w:r w:rsidRPr="0041344D">
        <w:t xml:space="preserve"> aangenomen dat de onderbouwing voor het opnemen van valutaresultaten in art</w:t>
      </w:r>
      <w:r w:rsidR="00BD13CA">
        <w:t>.</w:t>
      </w:r>
      <w:r w:rsidRPr="0041344D">
        <w:t xml:space="preserve"> 10a</w:t>
      </w:r>
      <w:r w:rsidR="00BD13CA">
        <w:t xml:space="preserve"> Wet</w:t>
      </w:r>
      <w:r w:rsidRPr="0041344D">
        <w:t xml:space="preserve"> VPB</w:t>
      </w:r>
      <w:r w:rsidR="00BD13CA">
        <w:t xml:space="preserve"> 1969</w:t>
      </w:r>
      <w:r w:rsidRPr="0041344D">
        <w:t xml:space="preserve"> UIP is. Dit gebeurde in 1996, toen er nog niet veel empirisch bewijs voor de verklaringswaarde van rentepariteit bestond. Het lijkt dus of de wetgever hier een beslissing heeft gemaakt gebaseerd op een puur theoretisch argument dat in de praktijk geen bewezen nut heeft. Wellicht heeft de wetgever een fout gemaakt bij de invoering van het artikel. Echter</w:t>
      </w:r>
      <w:r w:rsidR="005A145F">
        <w:t>,</w:t>
      </w:r>
      <w:r w:rsidRPr="0041344D">
        <w:t xml:space="preserve"> uit het onderzoek van Chinn en Meredith</w:t>
      </w:r>
      <w:r>
        <w:t xml:space="preserve"> (2004)</w:t>
      </w:r>
      <w:r w:rsidRPr="00CB43E5">
        <w:rPr>
          <w:rStyle w:val="FootnoteReference"/>
        </w:rPr>
        <w:footnoteReference w:id="58"/>
      </w:r>
      <w:r w:rsidRPr="00CB43E5">
        <w:rPr>
          <w:vertAlign w:val="superscript"/>
        </w:rPr>
        <w:t xml:space="preserve"> </w:t>
      </w:r>
      <w:r w:rsidRPr="0041344D">
        <w:t xml:space="preserve">blijkt dat er een reden is voor de lage verklaringswaarde in </w:t>
      </w:r>
      <w:proofErr w:type="gramStart"/>
      <w:r w:rsidRPr="0041344D">
        <w:t>de</w:t>
      </w:r>
      <w:proofErr w:type="gramEnd"/>
      <w:r w:rsidRPr="0041344D">
        <w:t xml:space="preserve"> eerder genoemde onderzoeken. Daarbij geven zij aan dat het UIP misschien helemaal niet nutteloos is. </w:t>
      </w:r>
      <w:r>
        <w:t>E</w:t>
      </w:r>
      <w:r w:rsidRPr="0041344D">
        <w:t xml:space="preserve">en van de belangrijkste redenen voor het falen van de UIP is dat de onderzoeken allemaal een heel korte tijdsspan hadden. Meestal minder dan een jaar. Dit komt, zeker begin jaren tachtig, door het gebrek aan data. </w:t>
      </w:r>
      <w:r>
        <w:t>In 2004 was er veel meer data beschikbaar en kon er</w:t>
      </w:r>
      <w:r w:rsidRPr="0041344D">
        <w:t xml:space="preserve"> getest word</w:t>
      </w:r>
      <w:r>
        <w:t>en</w:t>
      </w:r>
      <w:r w:rsidRPr="0041344D">
        <w:t xml:space="preserve"> voor een tijdspan van 5 tot 10 jaar</w:t>
      </w:r>
      <w:r>
        <w:t>. Nu</w:t>
      </w:r>
      <w:r w:rsidRPr="0041344D">
        <w:t xml:space="preserve"> zijn de resultaten </w:t>
      </w:r>
      <w:r w:rsidR="00F41C89">
        <w:t>op korte termijn niet anders dan</w:t>
      </w:r>
      <w:r w:rsidRPr="0041344D">
        <w:t xml:space="preserve"> die </w:t>
      </w:r>
      <w:r>
        <w:t>in het onderzoek van Meese en Rogoff (1983)</w:t>
      </w:r>
      <w:r w:rsidRPr="0041344D">
        <w:t xml:space="preserve">. </w:t>
      </w:r>
      <w:r w:rsidR="00F41C89">
        <w:t xml:space="preserve">Op korte termijn is de relatie tussen wisselkoersveranderingen en de hoogte van de rente precies omgekeerd aan de relatie van het UIP model. </w:t>
      </w:r>
      <w:r w:rsidRPr="0041344D">
        <w:t>Op de lange termijn heb</w:t>
      </w:r>
      <w:r>
        <w:t>ben de uitkomsten</w:t>
      </w:r>
      <w:r w:rsidR="002D0EA6">
        <w:t xml:space="preserve"> </w:t>
      </w:r>
      <w:r w:rsidR="005A145F">
        <w:t xml:space="preserve">wel </w:t>
      </w:r>
      <w:r w:rsidR="002D0EA6">
        <w:t>het juiste teken. Dat betekent</w:t>
      </w:r>
      <w:r w:rsidRPr="0041344D">
        <w:t xml:space="preserve"> dat er voorspeld kan worden of er een winst of verlies zal ontstaan. Echter de grootte van deze winsten en verliezen is dan nog onduidelijk. </w:t>
      </w:r>
      <w:r w:rsidR="00842BA2">
        <w:t xml:space="preserve">In de onderstaande tabel </w:t>
      </w:r>
      <w:r w:rsidR="00B865E5">
        <w:t>(Figuur 5)</w:t>
      </w:r>
      <w:r w:rsidR="00842BA2">
        <w:rPr>
          <w:rStyle w:val="FootnoteReference"/>
        </w:rPr>
        <w:footnoteReference w:id="59"/>
      </w:r>
      <w:r w:rsidR="00842BA2">
        <w:t xml:space="preserve"> is de verklaringswaarde op de lange termijn gegeven. De regressieformule is als volgt:</w:t>
      </w:r>
    </w:p>
    <w:p w:rsidR="00842BA2" w:rsidRDefault="00842BA2" w:rsidP="00842BA2">
      <w:pPr>
        <w:pStyle w:val="NoSpacing"/>
        <w:spacing w:line="360" w:lineRule="auto"/>
      </w:pPr>
    </w:p>
    <w:p w:rsidR="00842BA2" w:rsidRPr="00656458" w:rsidRDefault="00656458" w:rsidP="00842BA2">
      <w:pPr>
        <w:pStyle w:val="NoSpacing"/>
        <w:spacing w:line="360" w:lineRule="auto"/>
        <w:rPr>
          <w:vertAlign w:val="subscript"/>
          <w:lang w:val="en-US"/>
        </w:rPr>
      </w:pPr>
      <w:r w:rsidRPr="00656458">
        <w:rPr>
          <w:lang w:val="en-US"/>
        </w:rPr>
        <w:t>[4.2.1</w:t>
      </w:r>
      <w:r w:rsidR="00842BA2" w:rsidRPr="00656458">
        <w:rPr>
          <w:lang w:val="en-US"/>
        </w:rPr>
        <w:t xml:space="preserve">] </w:t>
      </w:r>
      <w:r w:rsidR="00842BA2">
        <w:t>Δ</w:t>
      </w:r>
      <w:proofErr w:type="spellStart"/>
      <w:r w:rsidR="00842BA2" w:rsidRPr="00656458">
        <w:rPr>
          <w:lang w:val="en-US"/>
        </w:rPr>
        <w:t>s</w:t>
      </w:r>
      <w:r w:rsidR="00842BA2" w:rsidRPr="00656458">
        <w:rPr>
          <w:vertAlign w:val="subscript"/>
          <w:lang w:val="en-US"/>
        </w:rPr>
        <w:t>t</w:t>
      </w:r>
      <w:proofErr w:type="spellEnd"/>
      <w:r w:rsidR="00842BA2" w:rsidRPr="00656458">
        <w:rPr>
          <w:vertAlign w:val="subscript"/>
          <w:lang w:val="en-US"/>
        </w:rPr>
        <w:t xml:space="preserve">, </w:t>
      </w:r>
      <w:proofErr w:type="spellStart"/>
      <w:r w:rsidR="00842BA2" w:rsidRPr="00656458">
        <w:rPr>
          <w:vertAlign w:val="subscript"/>
          <w:lang w:val="en-US"/>
        </w:rPr>
        <w:t>t+k</w:t>
      </w:r>
      <w:proofErr w:type="spellEnd"/>
      <w:r w:rsidR="00842BA2" w:rsidRPr="00656458">
        <w:rPr>
          <w:lang w:val="en-US"/>
        </w:rPr>
        <w:t xml:space="preserve"> = </w:t>
      </w:r>
      <w:r w:rsidR="00842BA2">
        <w:t>α</w:t>
      </w:r>
      <w:r w:rsidR="00842BA2" w:rsidRPr="00656458">
        <w:rPr>
          <w:lang w:val="en-US"/>
        </w:rPr>
        <w:t xml:space="preserve"> + </w:t>
      </w:r>
      <w:proofErr w:type="gramStart"/>
      <w:r w:rsidR="00842BA2">
        <w:t>β</w:t>
      </w:r>
      <w:r w:rsidR="00842BA2" w:rsidRPr="00656458">
        <w:rPr>
          <w:lang w:val="en-US"/>
        </w:rPr>
        <w:t>(</w:t>
      </w:r>
      <w:proofErr w:type="gramEnd"/>
      <w:r w:rsidR="00842BA2" w:rsidRPr="00656458">
        <w:rPr>
          <w:lang w:val="en-US"/>
        </w:rPr>
        <w:t>i</w:t>
      </w:r>
      <w:r w:rsidR="00842BA2" w:rsidRPr="00656458">
        <w:rPr>
          <w:vertAlign w:val="subscript"/>
          <w:lang w:val="en-US"/>
        </w:rPr>
        <w:t>t, k</w:t>
      </w:r>
      <w:r w:rsidR="00842BA2" w:rsidRPr="00656458">
        <w:rPr>
          <w:lang w:val="en-US"/>
        </w:rPr>
        <w:t xml:space="preserve"> – </w:t>
      </w:r>
      <w:proofErr w:type="spellStart"/>
      <w:r w:rsidR="00842BA2" w:rsidRPr="00656458">
        <w:rPr>
          <w:lang w:val="en-US"/>
        </w:rPr>
        <w:t>i</w:t>
      </w:r>
      <w:proofErr w:type="spellEnd"/>
      <w:r w:rsidR="00842BA2" w:rsidRPr="00656458">
        <w:rPr>
          <w:lang w:val="en-US"/>
        </w:rPr>
        <w:t>*</w:t>
      </w:r>
      <w:proofErr w:type="spellStart"/>
      <w:r w:rsidR="00842BA2" w:rsidRPr="00656458">
        <w:rPr>
          <w:vertAlign w:val="subscript"/>
          <w:lang w:val="en-US"/>
        </w:rPr>
        <w:t>t,k</w:t>
      </w:r>
      <w:proofErr w:type="spellEnd"/>
      <w:r w:rsidR="00842BA2" w:rsidRPr="00656458">
        <w:rPr>
          <w:lang w:val="en-US"/>
        </w:rPr>
        <w:t xml:space="preserve">) + </w:t>
      </w:r>
      <w:r w:rsidR="00842BA2" w:rsidRPr="00842BA2">
        <w:t>ε</w:t>
      </w:r>
      <w:r w:rsidR="00842BA2" w:rsidRPr="00656458">
        <w:rPr>
          <w:vertAlign w:val="subscript"/>
          <w:lang w:val="en-US"/>
        </w:rPr>
        <w:t xml:space="preserve">t, </w:t>
      </w:r>
      <w:proofErr w:type="spellStart"/>
      <w:r w:rsidR="00842BA2" w:rsidRPr="00656458">
        <w:rPr>
          <w:vertAlign w:val="subscript"/>
          <w:lang w:val="en-US"/>
        </w:rPr>
        <w:t>t+k</w:t>
      </w:r>
      <w:proofErr w:type="spellEnd"/>
    </w:p>
    <w:p w:rsidR="00842BA2" w:rsidRDefault="00842BA2" w:rsidP="00467176">
      <w:pPr>
        <w:pStyle w:val="NoSpacing"/>
        <w:spacing w:line="360" w:lineRule="auto"/>
      </w:pPr>
      <w:r>
        <w:lastRenderedPageBreak/>
        <w:t>De verandering in wisselkoers tussen tijdstip t en t+k is gelijk aan een constante</w:t>
      </w:r>
      <w:r w:rsidR="005A145F">
        <w:t xml:space="preserve"> plus een richtingscoëfficiënt</w:t>
      </w:r>
      <w:r w:rsidR="003A7FBD">
        <w:t>,</w:t>
      </w:r>
      <w:r w:rsidR="005A145F">
        <w:t xml:space="preserve"> </w:t>
      </w:r>
      <w:r>
        <w:t>maal het verschil in rentestand in het binnenland en het buitenland</w:t>
      </w:r>
      <w:r w:rsidR="003A7FBD">
        <w:t>,</w:t>
      </w:r>
      <w:r>
        <w:t xml:space="preserve"> plus een </w:t>
      </w:r>
      <w:proofErr w:type="spellStart"/>
      <w:r>
        <w:t>error</w:t>
      </w:r>
      <w:proofErr w:type="spellEnd"/>
      <w:r>
        <w:t xml:space="preserve">. </w:t>
      </w:r>
      <w:r w:rsidR="00DB3245">
        <w:t>In de tabel zien we dat alle richtingscoëfficiënten</w:t>
      </w:r>
      <w:r w:rsidR="002D0EA6">
        <w:t xml:space="preserve"> positief zijn. Dit betekent</w:t>
      </w:r>
      <w:r w:rsidR="00DB3245">
        <w:t xml:space="preserve"> dat er een positieve correlatie is tussen de verschillen in rente en de verandering in wisselkoers. De richtingscoëfficiënten zijn echter niet gelijk aan 1, wat een volledig UIP zal impliceren. Voor sommige valuta is dit getal zelfs dichter bij nul dan bij 1. Belangrijker is echter de verklaringswaarde (R</w:t>
      </w:r>
      <w:r w:rsidR="00DB3245">
        <w:rPr>
          <w:vertAlign w:val="superscript"/>
        </w:rPr>
        <w:t>2</w:t>
      </w:r>
      <w:r w:rsidR="00DB3245">
        <w:t xml:space="preserve">). De uitkomsten hebben een zekere verklaringswaarde. Deze is in geen van de gevallen erg hoog. </w:t>
      </w:r>
    </w:p>
    <w:p w:rsidR="00842BA2" w:rsidRDefault="00842BA2" w:rsidP="00467176">
      <w:pPr>
        <w:pStyle w:val="NoSpacing"/>
        <w:spacing w:line="360" w:lineRule="auto"/>
      </w:pPr>
    </w:p>
    <w:p w:rsidR="00B865E5" w:rsidRPr="00842BA2" w:rsidRDefault="00B865E5" w:rsidP="00467176">
      <w:pPr>
        <w:pStyle w:val="NoSpacing"/>
        <w:spacing w:line="360" w:lineRule="auto"/>
      </w:pPr>
      <w:r>
        <w:t>Figuur 5</w:t>
      </w:r>
    </w:p>
    <w:p w:rsidR="00467176" w:rsidRPr="0041344D" w:rsidRDefault="00842BA2" w:rsidP="00DB3245">
      <w:pPr>
        <w:pStyle w:val="NoSpacing"/>
        <w:spacing w:line="360" w:lineRule="auto"/>
      </w:pPr>
      <w:r>
        <w:rPr>
          <w:noProof/>
          <w:lang w:val="en-US"/>
        </w:rPr>
        <w:drawing>
          <wp:anchor distT="0" distB="0" distL="114300" distR="114300" simplePos="0" relativeHeight="251662336" behindDoc="1" locked="0" layoutInCell="1" allowOverlap="1">
            <wp:simplePos x="0" y="0"/>
            <wp:positionH relativeFrom="column">
              <wp:posOffset>14605</wp:posOffset>
            </wp:positionH>
            <wp:positionV relativeFrom="paragraph">
              <wp:posOffset>-4445</wp:posOffset>
            </wp:positionV>
            <wp:extent cx="5762625" cy="3343275"/>
            <wp:effectExtent l="19050" t="0" r="9525" b="0"/>
            <wp:wrapTight wrapText="bothSides">
              <wp:wrapPolygon edited="0">
                <wp:start x="-71" y="0"/>
                <wp:lineTo x="-71" y="21538"/>
                <wp:lineTo x="21636" y="21538"/>
                <wp:lineTo x="21636" y="0"/>
                <wp:lineTo x="-7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5762625" cy="3343275"/>
                    </a:xfrm>
                    <a:prstGeom prst="rect">
                      <a:avLst/>
                    </a:prstGeom>
                    <a:noFill/>
                    <a:ln w="9525">
                      <a:noFill/>
                      <a:miter lim="800000"/>
                      <a:headEnd/>
                      <a:tailEnd/>
                    </a:ln>
                  </pic:spPr>
                </pic:pic>
              </a:graphicData>
            </a:graphic>
          </wp:anchor>
        </w:drawing>
      </w:r>
      <w:r w:rsidR="00467176" w:rsidRPr="0041344D">
        <w:t xml:space="preserve">Chinn en Meredith tonen dus aan dat UIP wel degelijk verklaringskracht heeft en zeker niet nutteloos is. Helaas moeten zij wel concluderen dat de UIP op korte termijn geen nut heeft en dat op lange termijn verklaringswaarde nog steeds geen volledig bevredigende waarde aanneemt. Er zijn dus nog steeds veel onzekerheden bij het voorspellen van toekomstige wisselkoersen, slechts een kleine proportie van de variantie in wisselkoersen word </w:t>
      </w:r>
      <w:r w:rsidR="00467176">
        <w:t>verduidelijkt door het UIP</w:t>
      </w:r>
      <w:r w:rsidR="00467176" w:rsidRPr="0041344D">
        <w:t xml:space="preserve"> </w:t>
      </w:r>
    </w:p>
    <w:p w:rsidR="005A145F" w:rsidRDefault="005A145F">
      <w:pPr>
        <w:rPr>
          <w:rFonts w:asciiTheme="majorHAnsi" w:eastAsiaTheme="majorEastAsia" w:hAnsiTheme="majorHAnsi" w:cstheme="majorBidi"/>
          <w:b/>
          <w:bCs/>
          <w:color w:val="4F81BD" w:themeColor="accent1"/>
          <w:sz w:val="26"/>
          <w:szCs w:val="26"/>
        </w:rPr>
      </w:pPr>
      <w:bookmarkStart w:id="17" w:name="_Toc298505071"/>
      <w:r>
        <w:br w:type="page"/>
      </w:r>
    </w:p>
    <w:p w:rsidR="00467176" w:rsidRPr="0033793F" w:rsidRDefault="00467176" w:rsidP="00751820">
      <w:pPr>
        <w:pStyle w:val="Heading2"/>
        <w:numPr>
          <w:ilvl w:val="1"/>
          <w:numId w:val="4"/>
        </w:numPr>
        <w:spacing w:line="360" w:lineRule="auto"/>
      </w:pPr>
      <w:bookmarkStart w:id="18" w:name="_Toc299359020"/>
      <w:r w:rsidRPr="0033793F">
        <w:lastRenderedPageBreak/>
        <w:t>De interestpariteit in extreme omstandigheden</w:t>
      </w:r>
      <w:bookmarkEnd w:id="18"/>
    </w:p>
    <w:p w:rsidR="00467176" w:rsidRPr="0033793F" w:rsidRDefault="00467176" w:rsidP="00467176">
      <w:pPr>
        <w:pStyle w:val="NoSpacing"/>
        <w:spacing w:line="360" w:lineRule="auto"/>
      </w:pPr>
      <w:r w:rsidRPr="0033793F">
        <w:t xml:space="preserve">In 1994 brak er in Mexico een crisis uit. De prijzen schoten omhoog en de koopkracht daalde tot historische diepte. Men gaf zijn geld zo snel mogelijk uit, want morgen was het nog minder waard. In korte tijd liep de inflatie op tot wel 30%, maar het einde was nog niet in zicht. In een dergelijke periode van hyperinflatie zijn de rentestanden heel hoog. </w:t>
      </w:r>
      <w:r w:rsidR="005A145F">
        <w:t>D</w:t>
      </w:r>
      <w:r w:rsidRPr="0033793F">
        <w:t xml:space="preserve">e rente op leningen </w:t>
      </w:r>
      <w:r w:rsidR="005A145F">
        <w:t xml:space="preserve">liep </w:t>
      </w:r>
      <w:r w:rsidRPr="0033793F">
        <w:t xml:space="preserve">op tot </w:t>
      </w:r>
      <w:r w:rsidR="005A145F">
        <w:t xml:space="preserve">wel </w:t>
      </w:r>
      <w:r w:rsidRPr="0033793F">
        <w:t>100% van de hoofdsom. Het mag duidelijk zijn dat men in tijde van hyperinflatie niet meer spaart. Morgen is het geld misschien wel een paar procent minder waard. Als men niet meer spaart en leningen niet meer afbetaald worden, bedrijven en banken failliet gaan en mensen werkeloos raken, dan raakt de staatskas snel leeg, met alle gevolgen van dien</w:t>
      </w:r>
      <w:r w:rsidR="005A145F">
        <w:rPr>
          <w:rStyle w:val="FootnoteReference"/>
        </w:rPr>
        <w:footnoteReference w:id="60"/>
      </w:r>
      <w:r w:rsidRPr="0033793F">
        <w:t xml:space="preserve">. </w:t>
      </w:r>
    </w:p>
    <w:p w:rsidR="00467176" w:rsidRDefault="00467176" w:rsidP="00467176">
      <w:pPr>
        <w:pStyle w:val="NoSpacing"/>
        <w:spacing w:line="360" w:lineRule="auto"/>
      </w:pPr>
      <w:r w:rsidRPr="0033793F">
        <w:t xml:space="preserve">Hyperinflatie gaat gepaard met hoge rente, die beleggers aantrekt. Echter, hoge inflatie maakt een land ook heel duur. Producten worden niet meer gekocht en de export </w:t>
      </w:r>
      <w:r w:rsidR="003A7FBD" w:rsidRPr="0033793F">
        <w:t>verslechter</w:t>
      </w:r>
      <w:r w:rsidR="003A7FBD">
        <w:t>d</w:t>
      </w:r>
      <w:r w:rsidRPr="0033793F">
        <w:t xml:space="preserve">, gelijktijdig daalt de vraag naar de Peso en </w:t>
      </w:r>
      <w:r w:rsidR="00770D46" w:rsidRPr="0033793F">
        <w:t xml:space="preserve">zal </w:t>
      </w:r>
      <w:r w:rsidRPr="0033793F">
        <w:t>de</w:t>
      </w:r>
      <w:r w:rsidR="00770D46">
        <w:t>ze</w:t>
      </w:r>
      <w:r w:rsidRPr="0033793F">
        <w:t xml:space="preserve"> munt depreciëren. Dit is in overeenstemming met de interestpariteit. Een hoge rente doet een munt depreciëren. In de praktijk is aangetoond dat deze relatie van het UIP ook daadwerkelijk bestaat. </w:t>
      </w:r>
      <w:proofErr w:type="spellStart"/>
      <w:r w:rsidRPr="0033793F">
        <w:t>Koeman</w:t>
      </w:r>
      <w:proofErr w:type="spellEnd"/>
      <w:r w:rsidRPr="0033793F">
        <w:t>, Koedijk, Kool en Nissen (1998)</w:t>
      </w:r>
      <w:r w:rsidRPr="0033793F">
        <w:rPr>
          <w:vertAlign w:val="superscript"/>
        </w:rPr>
        <w:footnoteReference w:id="61"/>
      </w:r>
      <w:r w:rsidRPr="0033793F">
        <w:t xml:space="preserve"> hebben onderzoek gedaan naar de verklaringskracht van het UIP in abnormale omstandigheden. Zij concluderen dat de verklaringskracht van het UIP lang heel laag is geweest. Dit wordt veroorzaakt door zaken zoals het </w:t>
      </w:r>
      <w:proofErr w:type="spellStart"/>
      <w:r w:rsidRPr="0033793F">
        <w:t>Peso-probleem</w:t>
      </w:r>
      <w:proofErr w:type="spellEnd"/>
      <w:r w:rsidRPr="0033793F">
        <w:t xml:space="preserve"> (hierboven beschreven). Echter als abnormale omstandigheden worden geïsoleerd</w:t>
      </w:r>
      <w:r w:rsidR="00770D46">
        <w:t>,</w:t>
      </w:r>
      <w:r w:rsidRPr="0033793F">
        <w:t xml:space="preserve"> ontstaat er een heel hoge, bijna volledige verklaringskracht van het UIP. </w:t>
      </w:r>
      <w:r w:rsidR="00EA71A1">
        <w:t>Om verschillen te onderzoeken tussen normale periodes en zeer volatiele periodes, dus wanneer de wisselkoersen sterk fluctueren, hebben zij gekeken naar forward premiums. Als deze groot zijn</w:t>
      </w:r>
      <w:r w:rsidR="00390CE9">
        <w:t>,</w:t>
      </w:r>
      <w:r w:rsidR="00EA71A1">
        <w:t xml:space="preserve"> zijn de wisselkoersen volatiel. In </w:t>
      </w:r>
      <w:r w:rsidR="00B865E5">
        <w:t>figuur 6</w:t>
      </w:r>
      <w:r w:rsidR="00390CE9">
        <w:rPr>
          <w:rStyle w:val="FootnoteReference"/>
        </w:rPr>
        <w:footnoteReference w:id="62"/>
      </w:r>
      <w:r w:rsidR="00EA71A1">
        <w:t xml:space="preserve"> is te zien dat o</w:t>
      </w:r>
      <w:r w:rsidRPr="0033793F">
        <w:t>nder ‘normale’ omstandigheden het model slecht</w:t>
      </w:r>
      <w:r w:rsidR="00EA71A1">
        <w:t xml:space="preserve"> presteert. De richtingscoëfficiënt is laag. </w:t>
      </w:r>
      <w:r w:rsidRPr="0033793F">
        <w:t xml:space="preserve">Er kan niet significant aangetoond worden dat het de basisrelatie van het UIP opgaat. Dit is in lijn met het onderzoek dat eerder door Floot en </w:t>
      </w:r>
      <w:proofErr w:type="spellStart"/>
      <w:r w:rsidRPr="0033793F">
        <w:t>Rose</w:t>
      </w:r>
      <w:proofErr w:type="spellEnd"/>
      <w:r w:rsidRPr="0033793F">
        <w:t xml:space="preserve"> (2002)</w:t>
      </w:r>
      <w:r w:rsidRPr="0033793F">
        <w:rPr>
          <w:vertAlign w:val="superscript"/>
        </w:rPr>
        <w:footnoteReference w:id="63"/>
      </w:r>
      <w:r w:rsidRPr="0033793F">
        <w:t xml:space="preserve"> gedaan werd. Ook zij toonden aan dat het UIP in tijden van crisis beter presteert dan onder niet-extreme omstandigheden.</w:t>
      </w:r>
      <w:r w:rsidR="00EA71A1">
        <w:t xml:space="preserve"> In de ‘</w:t>
      </w:r>
      <w:proofErr w:type="spellStart"/>
      <w:r w:rsidR="00EA71A1">
        <w:t>Outlier</w:t>
      </w:r>
      <w:proofErr w:type="spellEnd"/>
      <w:r w:rsidR="00EA71A1">
        <w:t xml:space="preserve"> </w:t>
      </w:r>
      <w:proofErr w:type="spellStart"/>
      <w:r w:rsidR="00EA71A1">
        <w:t>period</w:t>
      </w:r>
      <w:proofErr w:type="spellEnd"/>
      <w:r w:rsidR="00EA71A1">
        <w:t xml:space="preserve">’, dus wanneer er zeer hoge forward premiums zijn gevonden, presteert het model veel beter en is de richtingscoëfficiënt veel groter. </w:t>
      </w:r>
    </w:p>
    <w:p w:rsidR="00B865E5" w:rsidRDefault="00B865E5">
      <w:pPr>
        <w:rPr>
          <w:rFonts w:ascii="Calibri" w:eastAsia="Calibri" w:hAnsi="Calibri" w:cs="Arial"/>
        </w:rPr>
      </w:pPr>
      <w:r>
        <w:br w:type="page"/>
      </w:r>
    </w:p>
    <w:p w:rsidR="00B865E5" w:rsidRPr="0033793F" w:rsidRDefault="00B865E5" w:rsidP="00467176">
      <w:pPr>
        <w:pStyle w:val="NoSpacing"/>
        <w:spacing w:line="360" w:lineRule="auto"/>
      </w:pPr>
      <w:r>
        <w:lastRenderedPageBreak/>
        <w:t>Figuur 6</w:t>
      </w:r>
    </w:p>
    <w:p w:rsidR="00467176" w:rsidRPr="0033793F" w:rsidRDefault="00EA71A1" w:rsidP="00467176">
      <w:pPr>
        <w:pStyle w:val="NoSpacing"/>
        <w:spacing w:line="360" w:lineRule="auto"/>
      </w:pPr>
      <w:r>
        <w:rPr>
          <w:noProof/>
          <w:lang w:val="en-US"/>
        </w:rPr>
        <w:drawing>
          <wp:inline distT="0" distB="0" distL="0" distR="0">
            <wp:extent cx="5760720" cy="2085285"/>
            <wp:effectExtent l="19050" t="0" r="0" b="0"/>
            <wp:docPr id="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5760720" cy="2085285"/>
                    </a:xfrm>
                    <a:prstGeom prst="rect">
                      <a:avLst/>
                    </a:prstGeom>
                    <a:noFill/>
                    <a:ln w="9525">
                      <a:noFill/>
                      <a:miter lim="800000"/>
                      <a:headEnd/>
                      <a:tailEnd/>
                    </a:ln>
                  </pic:spPr>
                </pic:pic>
              </a:graphicData>
            </a:graphic>
          </wp:inline>
        </w:drawing>
      </w:r>
    </w:p>
    <w:p w:rsidR="00467176" w:rsidRPr="0033793F" w:rsidRDefault="00EA71A1" w:rsidP="00467176">
      <w:pPr>
        <w:pStyle w:val="NoSpacing"/>
        <w:spacing w:line="360" w:lineRule="auto"/>
      </w:pPr>
      <w:r>
        <w:t>Een vo</w:t>
      </w:r>
      <w:r w:rsidR="00390CE9">
        <w:t>o</w:t>
      </w:r>
      <w:r>
        <w:t>rbeeld van een situatie wann</w:t>
      </w:r>
      <w:r w:rsidR="00390CE9">
        <w:t>e</w:t>
      </w:r>
      <w:r>
        <w:t>er een munt zeer volatie</w:t>
      </w:r>
      <w:r w:rsidR="00390CE9">
        <w:t>l</w:t>
      </w:r>
      <w:r>
        <w:t xml:space="preserve"> is </w:t>
      </w:r>
      <w:r w:rsidR="00390CE9">
        <w:t>wanneer</w:t>
      </w:r>
      <w:r>
        <w:t xml:space="preserve"> er sprake is van crisis</w:t>
      </w:r>
      <w:r w:rsidR="00467176" w:rsidRPr="0033793F">
        <w:t>, zoals in 1994 in Mexico het geval was</w:t>
      </w:r>
      <w:r>
        <w:t>. Echter onder dergelijke omstandigheden</w:t>
      </w:r>
      <w:r w:rsidR="00467176" w:rsidRPr="0033793F">
        <w:t xml:space="preserve"> leveren </w:t>
      </w:r>
      <w:r w:rsidR="00BD13CA">
        <w:t>art.</w:t>
      </w:r>
      <w:r w:rsidR="00467176" w:rsidRPr="0033793F">
        <w:t xml:space="preserve"> 10a Wet VPB 1969 leningen voor de belastingplichtige niet veel op. Immers als zij een lening aangaat in Mexicaanse Peso’s tegen e</w:t>
      </w:r>
      <w:r w:rsidR="005A145F">
        <w:t>en</w:t>
      </w:r>
      <w:r w:rsidR="00467176" w:rsidRPr="0033793F">
        <w:t xml:space="preserve"> heel hoge rente, zal zij deze rentekosten in Nederland niet ten laste van haar winst kunnen brengen. Volgens het UIP zullen er wel heel grote valutawinsten ontstaan. Als deze tot de belastbare winst gerekend worden, levert dat de belastingplichtige geen fiscaal voordeel op.</w:t>
      </w:r>
    </w:p>
    <w:p w:rsidR="00B50A53" w:rsidRPr="0033793F" w:rsidRDefault="00301AA6" w:rsidP="00467176">
      <w:pPr>
        <w:pStyle w:val="NoSpacing"/>
        <w:spacing w:line="360" w:lineRule="auto"/>
      </w:pPr>
      <w:r>
        <w:t>We</w:t>
      </w:r>
      <w:r w:rsidR="00467176" w:rsidRPr="0033793F">
        <w:t xml:space="preserve"> kunnen de situatie ook omdraaien. Als er sprake is van een heel sterke munt in plaats van een heel zwakke</w:t>
      </w:r>
      <w:r>
        <w:t xml:space="preserve"> munt,</w:t>
      </w:r>
      <w:r w:rsidR="00467176" w:rsidRPr="0033793F">
        <w:t xml:space="preserve"> zal de rente heel laag zijn. Dit is logisch. Als een land een sterke munt heeft zal zij beleggers willen ontmoedigen. Een voorbeeld hiervan is de Yen. De Yen is een sterke munt met een heel lage rente, die in 2010 zelfs op 0.0%</w:t>
      </w:r>
      <w:r w:rsidR="00467176" w:rsidRPr="0033793F">
        <w:rPr>
          <w:vertAlign w:val="superscript"/>
        </w:rPr>
        <w:footnoteReference w:id="64"/>
      </w:r>
      <w:r w:rsidR="00467176" w:rsidRPr="0033793F">
        <w:t xml:space="preserve"> werd gesteld. Een lage rente maakt het voor voorbelastingplichtige mogelijk een fiscaal voordelige constructie te maken, waarbij zij de heffingsgrondslag uithollen. Als een belastingplichtige bijvoorbeeld leent van een Japanse moedervennootschap tegen een hele lage rente en het UIP opgaat, dan zal de Yen appreciëren ten opzichte van de Euro. De rente van de Europese Centrale Bank was op hetzelfde moment namelijk 1% en dit is hoger</w:t>
      </w:r>
      <w:r>
        <w:rPr>
          <w:rStyle w:val="FootnoteReference"/>
        </w:rPr>
        <w:footnoteReference w:id="65"/>
      </w:r>
      <w:r w:rsidR="00467176" w:rsidRPr="0033793F">
        <w:t xml:space="preserve">. Als we dit invoeren in de UIP, zullen we zien dat de euro deprecieert ten opzichte van de Yen. De belastingplichtige zal zonder toepassing van </w:t>
      </w:r>
      <w:r w:rsidR="00BD13CA">
        <w:t>art.</w:t>
      </w:r>
      <w:r w:rsidR="00467176" w:rsidRPr="0033793F">
        <w:t xml:space="preserve"> 10a Wet VPB 1969 een valutaverlies ten laste van haar winst kunnen brengen en de moeder zal weinig renteopbrengsten hebben die zij aan haar belastbaar inkomen moet toevoegen. Op deze manier wordt de heffingsgrondslag uitgehold. </w:t>
      </w:r>
      <w:r w:rsidR="00390CE9">
        <w:t>Het is duidelijk dat b</w:t>
      </w:r>
      <w:r>
        <w:t>elastingplichtigen met een verbo</w:t>
      </w:r>
      <w:r w:rsidR="00390CE9">
        <w:t xml:space="preserve">nden persoon in een land met een sterke valuta een lening kunnen aangaan zoals bedoeld in art. 10a Wet VPB. De vraag is nu, is de verklaringswaarde voor het UIP in een dergelijke situatie hoog? Dit is het geval als er op een dergelijk moment ‘abnormaal’ </w:t>
      </w:r>
      <w:r w:rsidR="00B50A53">
        <w:t xml:space="preserve">hoge forward premiums zijn. </w:t>
      </w:r>
      <w:r w:rsidR="00390CE9">
        <w:t xml:space="preserve">Een forward premium is een </w:t>
      </w:r>
      <w:r w:rsidR="00390CE9">
        <w:lastRenderedPageBreak/>
        <w:t xml:space="preserve">premie die het valutarisico afdekt. Deze zal dus groot zijn op het moment dat er een grote kans bestaat dat de wisselkoers sterk zal veranderen. </w:t>
      </w:r>
      <w:r w:rsidR="001E7066">
        <w:t xml:space="preserve">Ik vraag me echter af hoe vaak dit het geval is. </w:t>
      </w:r>
      <w:r w:rsidR="00770D46">
        <w:t xml:space="preserve">Gezien het feit dat de Japanse Centrale bank heel veel moeite hier in moet stoppen, kan ik me niet voorstellen dat de kans op een zeer grote depreciatie van de munt heel hoog is. </w:t>
      </w:r>
    </w:p>
    <w:p w:rsidR="00467176" w:rsidRPr="00750470" w:rsidRDefault="00467176" w:rsidP="00751820">
      <w:pPr>
        <w:pStyle w:val="Heading2"/>
        <w:numPr>
          <w:ilvl w:val="1"/>
          <w:numId w:val="4"/>
        </w:numPr>
        <w:spacing w:line="360" w:lineRule="auto"/>
      </w:pPr>
      <w:bookmarkStart w:id="19" w:name="_Toc299359021"/>
      <w:r w:rsidRPr="00750470">
        <w:t>Het Spaanse Peseta’s Arrest</w:t>
      </w:r>
      <w:r>
        <w:rPr>
          <w:rStyle w:val="FootnoteReference"/>
        </w:rPr>
        <w:footnoteReference w:id="66"/>
      </w:r>
      <w:bookmarkEnd w:id="17"/>
      <w:bookmarkEnd w:id="19"/>
    </w:p>
    <w:p w:rsidR="00467176" w:rsidRDefault="00467176" w:rsidP="00467176">
      <w:pPr>
        <w:pStyle w:val="NoSpacing"/>
        <w:spacing w:line="360" w:lineRule="auto"/>
      </w:pPr>
      <w:r w:rsidRPr="00C37108">
        <w:t xml:space="preserve">In voorgaande </w:t>
      </w:r>
      <w:r>
        <w:t>paragrafen hebben we</w:t>
      </w:r>
      <w:r w:rsidRPr="00C37108">
        <w:t xml:space="preserve"> totaal andere uitkomsten gezien. </w:t>
      </w:r>
      <w:r>
        <w:t xml:space="preserve">Volgens het model van </w:t>
      </w:r>
      <w:r w:rsidRPr="00C37108">
        <w:t xml:space="preserve">de </w:t>
      </w:r>
      <w:r>
        <w:t xml:space="preserve">ongedekte </w:t>
      </w:r>
      <w:r w:rsidRPr="00C37108">
        <w:t xml:space="preserve">interestpariteit, </w:t>
      </w:r>
      <w:r>
        <w:t>zal</w:t>
      </w:r>
      <w:r w:rsidRPr="00C37108">
        <w:t xml:space="preserve"> risico geëlimineerd moeten worden door de rentestanden en het volledig mobiele kapitaal tussen landen. </w:t>
      </w:r>
      <w:r>
        <w:t xml:space="preserve">Echter empirisch onderzoek levert andere uitkomsten op. </w:t>
      </w:r>
      <w:r w:rsidRPr="00C37108">
        <w:t>Als we kijken naar de bestaande modellen om wisselkoersen te voorspellen, zien we dat er</w:t>
      </w:r>
      <w:r>
        <w:t xml:space="preserve"> hierbij </w:t>
      </w:r>
      <w:r w:rsidRPr="00C37108">
        <w:t xml:space="preserve">grote risico’s worden genomen. </w:t>
      </w:r>
      <w:r>
        <w:t>Op korte termijn heeft het UIP geen verklaringswaarde voor de variantie in wisselkoersen. De Random Walk is dan ook jaren lang aangemerkt als het meest betrouwbar</w:t>
      </w:r>
      <w:r w:rsidR="00770D46">
        <w:t>e model. Dit model veronderstelt</w:t>
      </w:r>
      <w:r>
        <w:t xml:space="preserve"> dat er geen veranderingen zullen optreden en dat het de beste predictie voor de toekomst is</w:t>
      </w:r>
      <w:r w:rsidR="00770D46">
        <w:t>,</w:t>
      </w:r>
      <w:r>
        <w:t xml:space="preserve"> om uit te gaan van huidige wisselkoersen. O</w:t>
      </w:r>
      <w:r w:rsidRPr="00C37108">
        <w:t xml:space="preserve">p lange termijn heeft het UIP </w:t>
      </w:r>
      <w:r>
        <w:t xml:space="preserve">wel </w:t>
      </w:r>
      <w:r w:rsidRPr="00C37108">
        <w:t>een voorspellingswaarde</w:t>
      </w:r>
      <w:r>
        <w:t>, al is</w:t>
      </w:r>
      <w:r w:rsidRPr="00C37108">
        <w:t xml:space="preserve"> deze niet heel groot. Ook in zeer extreme </w:t>
      </w:r>
      <w:r>
        <w:t>omstandigheden van hyperinflatie</w:t>
      </w:r>
      <w:r w:rsidRPr="00C37108">
        <w:t xml:space="preserve"> heeft het model verklaringswaarde. Deze verklaringswaarde is wel groot.</w:t>
      </w:r>
    </w:p>
    <w:p w:rsidR="00467176" w:rsidRPr="00C37108" w:rsidRDefault="00467176" w:rsidP="00467176">
      <w:pPr>
        <w:pStyle w:val="NoSpacing"/>
        <w:spacing w:line="360" w:lineRule="auto"/>
      </w:pPr>
      <w:r>
        <w:t>In het model van de</w:t>
      </w:r>
      <w:r w:rsidRPr="00C37108">
        <w:t xml:space="preserve"> rentepariteit wordt verondersteld dat er sprake is van volledige mobiliteit van kapitaal, wat waarschijnlijk is m</w:t>
      </w:r>
      <w:r>
        <w:t>et oog op de moderne technieken. Ook wordt er</w:t>
      </w:r>
      <w:r w:rsidRPr="00C37108">
        <w:t xml:space="preserve"> uitgegaan van eenzelfde risicoprofiel tussen twee landen en </w:t>
      </w:r>
      <w:r w:rsidRPr="003F2EC4">
        <w:t>rationaliteit</w:t>
      </w:r>
      <w:r>
        <w:t xml:space="preserve"> van marktspelers. Deze laatste twee assumpties zijn in werkelijkheid minder waarschijnlijk. Mensen zijn lang niet altijd rationeel en risicoprofielen zijn zeker niet gelijk tussen landen. </w:t>
      </w:r>
      <w:r w:rsidRPr="00C37108">
        <w:t xml:space="preserve">Als we bijvoorbeeld </w:t>
      </w:r>
      <w:r>
        <w:t>Noorwegen</w:t>
      </w:r>
      <w:r w:rsidRPr="00C37108">
        <w:t xml:space="preserve"> vergelijken met</w:t>
      </w:r>
      <w:r>
        <w:t xml:space="preserve"> landen in het Midden-Oosten, </w:t>
      </w:r>
      <w:r w:rsidRPr="00C37108">
        <w:t>Afrika</w:t>
      </w:r>
      <w:r>
        <w:t xml:space="preserve"> of Griekenland</w:t>
      </w:r>
      <w:r w:rsidRPr="00C37108">
        <w:t>, waar veel politieke onrust heerst</w:t>
      </w:r>
      <w:r>
        <w:t xml:space="preserve"> of monetaire problemen zijn</w:t>
      </w:r>
      <w:r w:rsidRPr="00C37108">
        <w:t>, zien we dat er een ander risico profiel ontstaat. Rampen, oorlogen en het politieke regime beïnvloeden wisselkoersen immers in hoge mate. UIP kan dus slechts deels de toekomstige waarde voorspellen. N</w:t>
      </w:r>
      <w:r>
        <w:t>u is het de vraag hoe er onder de rechters en andere personen binnen de rechtgevende macht word gedacht over valutaresultaten</w:t>
      </w:r>
      <w:r w:rsidRPr="00C37108">
        <w:t xml:space="preserve">. Met deze basis kunnen we kijken naar het Spaanse Peseta’s Arrest. </w:t>
      </w:r>
    </w:p>
    <w:p w:rsidR="00467176" w:rsidRDefault="00467176" w:rsidP="00467176">
      <w:pPr>
        <w:pStyle w:val="NoSpacing"/>
        <w:spacing w:line="360" w:lineRule="auto"/>
      </w:pPr>
      <w:r>
        <w:t xml:space="preserve">Het ging in deze casus om een Nederlandse belanghebbende die in 1992 26% van de aandelen in een Spaanse vennootschap kocht met een lening van </w:t>
      </w:r>
      <w:r w:rsidR="003A54EE">
        <w:t>ESP 2.6 miljard</w:t>
      </w:r>
      <w:r>
        <w:t xml:space="preserve">, die op dat moment een waarde van </w:t>
      </w:r>
      <w:r w:rsidR="003A54EE">
        <w:t xml:space="preserve">NLG </w:t>
      </w:r>
      <w:r>
        <w:t xml:space="preserve">47 miljoen reflecteerde. Het rentepercentage was 8.35%, dat gebaseerd was op het gemiddelde rendement van Nederlandse Staatsobligaties. Staatsobligatie reflecteren de risicovrije rente, dus de berekende rente lag onder de markrente. </w:t>
      </w:r>
    </w:p>
    <w:p w:rsidR="00467176" w:rsidRDefault="00467176" w:rsidP="00467176">
      <w:pPr>
        <w:pStyle w:val="NoSpacing"/>
        <w:spacing w:line="360" w:lineRule="auto"/>
      </w:pPr>
      <w:r>
        <w:lastRenderedPageBreak/>
        <w:t xml:space="preserve">In 1993 </w:t>
      </w:r>
      <w:r w:rsidR="00770D46">
        <w:t>loste</w:t>
      </w:r>
      <w:r>
        <w:t xml:space="preserve"> de belanghebbende de lening af met Spaanse Peseta’s die </w:t>
      </w:r>
      <w:r w:rsidR="003A54EE">
        <w:t>NLG</w:t>
      </w:r>
      <w:r>
        <w:t xml:space="preserve"> 35, 9 miljoen waard waren. </w:t>
      </w:r>
      <w:r w:rsidRPr="00A4699F">
        <w:t xml:space="preserve">Er is </w:t>
      </w:r>
      <w:r>
        <w:t xml:space="preserve">dus </w:t>
      </w:r>
      <w:r w:rsidRPr="00A4699F">
        <w:t xml:space="preserve">een </w:t>
      </w:r>
      <w:r>
        <w:t xml:space="preserve">valutawinst van ongeveer </w:t>
      </w:r>
      <w:r w:rsidR="003A54EE">
        <w:t xml:space="preserve">NLG </w:t>
      </w:r>
      <w:r>
        <w:t xml:space="preserve">11.1 miljoen </w:t>
      </w:r>
      <w:r w:rsidRPr="00A4699F">
        <w:t>ge</w:t>
      </w:r>
      <w:r>
        <w:t>realiseerd</w:t>
      </w:r>
      <w:r w:rsidRPr="00A4699F">
        <w:t xml:space="preserve">. </w:t>
      </w:r>
    </w:p>
    <w:p w:rsidR="00467176" w:rsidRDefault="00770D46" w:rsidP="00467176">
      <w:pPr>
        <w:pStyle w:val="NoSpacing"/>
        <w:spacing w:line="360" w:lineRule="auto"/>
      </w:pPr>
      <w:r>
        <w:t>De i</w:t>
      </w:r>
      <w:r w:rsidR="00467176">
        <w:t xml:space="preserve">nspecteur heeft als reactie een aanslag op basis van een belastbaar bedrag </w:t>
      </w:r>
      <w:r w:rsidR="001019C1">
        <w:t>ter grootte van deze winst opgelegd</w:t>
      </w:r>
      <w:r w:rsidR="00467176">
        <w:t>. De rechtbank oordeelde dat deze juist was, waarna de belanghebbende in b</w:t>
      </w:r>
      <w:r>
        <w:t>eroep ging. De zaak kwam bij</w:t>
      </w:r>
      <w:r w:rsidR="00467176">
        <w:t xml:space="preserve"> Hof Amsterdam terecht. Het Hof oordeelde dat de betaalde bedragen voor een lening aangegaan ter financiering van de deelneming </w:t>
      </w:r>
      <w:r w:rsidR="003A54EE">
        <w:t>beschouwd</w:t>
      </w:r>
      <w:r w:rsidR="00467176">
        <w:t xml:space="preserve"> word</w:t>
      </w:r>
      <w:r w:rsidR="00864485">
        <w:t>en</w:t>
      </w:r>
      <w:r w:rsidR="00467176">
        <w:t xml:space="preserve"> als kosten van de deelneming en op grond van </w:t>
      </w:r>
      <w:r w:rsidR="00BD13CA">
        <w:t>art.</w:t>
      </w:r>
      <w:r w:rsidR="003A54EE">
        <w:t xml:space="preserve"> 13 eerste lid</w:t>
      </w:r>
      <w:r w:rsidR="00467176">
        <w:t xml:space="preserve"> Wet VPB 1969 niet </w:t>
      </w:r>
      <w:r w:rsidR="003A54EE">
        <w:t>aftrekbaar</w:t>
      </w:r>
      <w:r w:rsidR="00467176">
        <w:t xml:space="preserve"> zijn. Verder stelt het </w:t>
      </w:r>
      <w:r w:rsidR="00864485">
        <w:t>Hof d</w:t>
      </w:r>
      <w:r w:rsidR="00467176">
        <w:t>at zij wel wilt</w:t>
      </w:r>
      <w:r w:rsidR="00467176" w:rsidRPr="00970C78">
        <w:t xml:space="preserve"> aannemen dat er </w:t>
      </w:r>
      <w:r w:rsidR="00467176">
        <w:t>“...</w:t>
      </w:r>
      <w:r w:rsidR="00467176" w:rsidRPr="00970C78">
        <w:t>enig verband bestaat tussen rentetarieven voor leningen in een bepaalde munt en het valutarisico betreffende die munt</w:t>
      </w:r>
      <w:r w:rsidR="00467176">
        <w:t>,</w:t>
      </w:r>
      <w:r w:rsidR="00467176" w:rsidRPr="00970C78">
        <w:t xml:space="preserve"> doch acht</w:t>
      </w:r>
      <w:r w:rsidR="00467176">
        <w:t xml:space="preserve"> zij</w:t>
      </w:r>
      <w:r w:rsidR="00467176" w:rsidRPr="00970C78">
        <w:t xml:space="preserve"> niet aannemelijk dat dit verband zo nauw is als belanghebbende stelt. Het Hof gaat er daarom van</w:t>
      </w:r>
      <w:r w:rsidR="00467176">
        <w:t xml:space="preserve"> </w:t>
      </w:r>
      <w:r w:rsidR="00467176" w:rsidRPr="00970C78">
        <w:t xml:space="preserve">uit dat dergelijke renteverschillen </w:t>
      </w:r>
      <w:proofErr w:type="gramStart"/>
      <w:r w:rsidR="00467176" w:rsidRPr="00970C78">
        <w:t>in het algemeen</w:t>
      </w:r>
      <w:proofErr w:type="gramEnd"/>
      <w:r w:rsidR="00467176" w:rsidRPr="00970C78">
        <w:t xml:space="preserve"> mede aan andere oorzaken kunnen worden toegeschreven en dat</w:t>
      </w:r>
      <w:r w:rsidR="00467176">
        <w:t xml:space="preserve"> dit ook voor de onderworpen</w:t>
      </w:r>
      <w:r w:rsidR="00467176" w:rsidRPr="00970C78">
        <w:t xml:space="preserve"> periode moet worden aangenomen</w:t>
      </w:r>
      <w:r w:rsidR="00864485">
        <w:rPr>
          <w:rStyle w:val="FootnoteReference"/>
        </w:rPr>
        <w:footnoteReference w:id="67"/>
      </w:r>
      <w:r w:rsidR="00467176">
        <w:t>”</w:t>
      </w:r>
      <w:r w:rsidR="00467176" w:rsidRPr="00970C78">
        <w:t>.</w:t>
      </w:r>
      <w:r w:rsidR="00467176">
        <w:t xml:space="preserve"> Hiernaast stelt het Hof vast dat een deel van de rente op een schuld is ontstaan door de zwakte van de valuta waarin het is uitgedrukt. De Peseta was op het moment dat dit speelde</w:t>
      </w:r>
      <w:r w:rsidR="00864485">
        <w:t>,</w:t>
      </w:r>
      <w:r w:rsidR="00467176">
        <w:t xml:space="preserve"> ten opzichte van de </w:t>
      </w:r>
      <w:r w:rsidR="001019C1">
        <w:t>Gulden</w:t>
      </w:r>
      <w:r w:rsidR="00864485">
        <w:t>,</w:t>
      </w:r>
      <w:r w:rsidR="001019C1">
        <w:t xml:space="preserve"> </w:t>
      </w:r>
      <w:r w:rsidR="00467176">
        <w:t>geen sterke munt. Dit deel van het valutaresultaat heeft betrekking op belaste voordelen uit valutaveranderingen en vallen deze niet in de aftrekbare kosten zoals bedoeld in a</w:t>
      </w:r>
      <w:r w:rsidR="003A54EE">
        <w:t>rt. 13 eerste lid</w:t>
      </w:r>
      <w:r w:rsidR="00467176">
        <w:t xml:space="preserve"> Wet VPB 1969. Het Hof erkent dus dat er een verband bestaat met de hoogte van de rente en het valutarisico. Duidelijk mag zijn dat het hier gaat om het UIP. De hoge rente op een Spaanse lening wordt gecompenseerd door een depreciatie van de Peseta ten opzichte van de Gulden. Het hof heeft echter niet duidelijk gemaakt wel</w:t>
      </w:r>
      <w:r w:rsidR="001E7066">
        <w:t>k</w:t>
      </w:r>
      <w:r w:rsidR="00467176">
        <w:t xml:space="preserve"> deel van het resultaat valt onder de aftrekbare kosten zoals bedoeld in </w:t>
      </w:r>
      <w:r w:rsidR="001E7066">
        <w:t xml:space="preserve">(toenmalig) </w:t>
      </w:r>
      <w:r w:rsidR="00467176">
        <w:t>art</w:t>
      </w:r>
      <w:r w:rsidR="001E7066">
        <w:t>. 13 eerste lid</w:t>
      </w:r>
      <w:r w:rsidR="00467176">
        <w:t xml:space="preserve"> Wet VPB 1969 en welke kosten niet. De Hoge Raad vernietigt de uitspraak van het hof dan ook en stuurt het naar Hof ’s-Gravenhage. </w:t>
      </w:r>
    </w:p>
    <w:p w:rsidR="00467176" w:rsidRDefault="00467176" w:rsidP="00467176">
      <w:pPr>
        <w:pStyle w:val="NoSpacing"/>
        <w:spacing w:line="360" w:lineRule="auto"/>
      </w:pPr>
    </w:p>
    <w:p w:rsidR="00467176" w:rsidRDefault="00467176" w:rsidP="00467176">
      <w:pPr>
        <w:pStyle w:val="NoSpacing"/>
        <w:spacing w:line="360" w:lineRule="auto"/>
      </w:pPr>
      <w:r>
        <w:t>Als we bovenstaande samenvoegen kunnen we concluderen dat er bij het aangaan van een lening in een andere valuta wel degelijk een risico wordt gelopen. Valutaresultaten zijn immers moeilijk te voorspellen. Daarbij is er door de Hoge Raad en het Hof erkend</w:t>
      </w:r>
      <w:r w:rsidR="00864485">
        <w:t>,</w:t>
      </w:r>
      <w:r>
        <w:t xml:space="preserve"> dat er een relatie bestaat tussen het rentetarief en het valutarisico. Ik ben van mening</w:t>
      </w:r>
      <w:r w:rsidR="00BD13CA">
        <w:t>,</w:t>
      </w:r>
      <w:r>
        <w:t xml:space="preserve"> dat bovenstaande ook toepasbaar is op art</w:t>
      </w:r>
      <w:r w:rsidR="00BD13CA">
        <w:t>.</w:t>
      </w:r>
      <w:r>
        <w:t xml:space="preserve"> 10a </w:t>
      </w:r>
      <w:r w:rsidR="00BD13CA">
        <w:t xml:space="preserve">Wet </w:t>
      </w:r>
      <w:r>
        <w:t>VPB</w:t>
      </w:r>
      <w:r w:rsidR="00BD13CA">
        <w:t xml:space="preserve"> 1969 en niet alleen op art. Wet</w:t>
      </w:r>
      <w:r>
        <w:t xml:space="preserve"> 13 VPB</w:t>
      </w:r>
      <w:r w:rsidR="00BD13CA">
        <w:t xml:space="preserve"> 1969</w:t>
      </w:r>
      <w:r>
        <w:t>. Het gaat hier immers over voorspelbaarheid van valutaresultaten in haar algemeen en niet om specifieke resultaten die slechts op art</w:t>
      </w:r>
      <w:r w:rsidR="00BD13CA">
        <w:t>.</w:t>
      </w:r>
      <w:r>
        <w:t xml:space="preserve"> 13 </w:t>
      </w:r>
      <w:r w:rsidR="00BD13CA">
        <w:t xml:space="preserve">Wet </w:t>
      </w:r>
      <w:r>
        <w:t>VBP</w:t>
      </w:r>
      <w:r w:rsidR="00BD13CA">
        <w:t xml:space="preserve"> 1969</w:t>
      </w:r>
      <w:r>
        <w:t xml:space="preserve"> toegepast kunnen worden. </w:t>
      </w:r>
    </w:p>
    <w:p w:rsidR="00467176" w:rsidRDefault="00467176" w:rsidP="00751820">
      <w:pPr>
        <w:pStyle w:val="Heading2"/>
        <w:numPr>
          <w:ilvl w:val="1"/>
          <w:numId w:val="4"/>
        </w:numPr>
        <w:spacing w:line="360" w:lineRule="auto"/>
      </w:pPr>
      <w:bookmarkStart w:id="20" w:name="_Toc299359022"/>
      <w:r>
        <w:t>Conclusie</w:t>
      </w:r>
      <w:bookmarkEnd w:id="20"/>
    </w:p>
    <w:p w:rsidR="00467176" w:rsidRDefault="00467176" w:rsidP="00467176">
      <w:pPr>
        <w:pStyle w:val="NoSpacing"/>
        <w:spacing w:line="360" w:lineRule="auto"/>
      </w:pPr>
      <w:r>
        <w:t>De interestpariteit veronderstelt, zowel in het geval van gedekte als ongedekte interest pariteit, dat er geen valutarisico gelopen word</w:t>
      </w:r>
      <w:r w:rsidR="003A54EE">
        <w:t>t</w:t>
      </w:r>
      <w:r>
        <w:t xml:space="preserve">. In het geval van gedekte interest pariteit (CIP) zal door middel </w:t>
      </w:r>
      <w:r>
        <w:lastRenderedPageBreak/>
        <w:t xml:space="preserve">van rationaliteit, </w:t>
      </w:r>
      <w:r w:rsidR="00864485">
        <w:t xml:space="preserve">een </w:t>
      </w:r>
      <w:r>
        <w:t>zelfde risicoprofiel tussen landen en volledige mobiliteit van kapitaal, een forward contract tot stand komen</w:t>
      </w:r>
      <w:r w:rsidR="00864485">
        <w:t>,</w:t>
      </w:r>
      <w:r>
        <w:t xml:space="preserve"> waarbij geen enkele partij voordeel op leningen kan behalen. In het geval van de ongedekte rentepariteit (UIP) zullen er geen contracten zijn. Wel wordt er ook hier uitgegaan van rationele marktspelers, gelijke risicoprofielen en volledige mobiliteit van kapitaal. De verschillen tussen rentestanden en de huidige onderlinge wisselkoers kunnen</w:t>
      </w:r>
      <w:r w:rsidR="003A54EE">
        <w:t xml:space="preserve"> in deze theorie</w:t>
      </w:r>
      <w:r>
        <w:t xml:space="preserve"> de toekomstige wisselkoers voorspellen. Deze verwachte wisselkoers zal gelijk zijn aan de werkelijke wisselkoers als het model opgaat. Wisselkoersen passen zich namelijk aan, aan de rentestanden, zodat het niet uitmaakt of je in valuta A investeert of in valuta B. Als het model niet opgaat zal bij beide soorten pariteit arbitrage mogelijk zijn. </w:t>
      </w:r>
    </w:p>
    <w:p w:rsidR="00467176" w:rsidRDefault="00467176" w:rsidP="00467176">
      <w:pPr>
        <w:pStyle w:val="NoSpacing"/>
        <w:spacing w:line="360" w:lineRule="auto"/>
      </w:pPr>
      <w:r>
        <w:t xml:space="preserve">Als we uitgaan van de rentepariteit zijn wisselkoersen dus volledig voorspelbaar en kunnen er geen onverwachte resultaten gerealiseerd worden. </w:t>
      </w:r>
    </w:p>
    <w:p w:rsidR="00467176" w:rsidRDefault="00467176" w:rsidP="00467176">
      <w:pPr>
        <w:pStyle w:val="NoSpacing"/>
        <w:spacing w:line="360" w:lineRule="auto"/>
      </w:pPr>
      <w:r>
        <w:t xml:space="preserve">Nu is </w:t>
      </w:r>
      <w:r w:rsidR="00864485">
        <w:t>er</w:t>
      </w:r>
      <w:r>
        <w:t xml:space="preserve"> gebleken dat op de korte termijn het simpele model van de Random Walk beter</w:t>
      </w:r>
      <w:r w:rsidR="00864485">
        <w:t>e</w:t>
      </w:r>
      <w:r>
        <w:t xml:space="preserve"> predicties van de variantie in valutaresultaten geeft dan de rentepariteit. Echter</w:t>
      </w:r>
      <w:r w:rsidR="001019C1">
        <w:t>,</w:t>
      </w:r>
      <w:r>
        <w:t xml:space="preserve"> het model van de Random Walk heeft, ondanks dat zij de beste is, een lage verklaringswaarde. Dit suggereert dat de interest pariteit nutteloos is. Zij is namelijk een essentiële bouwsteen van de andere, ook geteste, modellen. </w:t>
      </w:r>
    </w:p>
    <w:p w:rsidR="00467176" w:rsidRDefault="00467176" w:rsidP="00467176">
      <w:pPr>
        <w:pStyle w:val="NoSpacing"/>
        <w:spacing w:line="360" w:lineRule="auto"/>
      </w:pPr>
      <w:r>
        <w:t>Het onderzoek dat hierboven beschreven word</w:t>
      </w:r>
      <w:r w:rsidR="003A54EE">
        <w:t>t</w:t>
      </w:r>
      <w:r>
        <w:t xml:space="preserve"> is dat van Meese en Rogoff (1983). Het is jarenlang een toonaangevend artikel geweest dat men niet kon weerleggen. </w:t>
      </w:r>
      <w:r w:rsidR="001019C1">
        <w:t>Pas toen</w:t>
      </w:r>
      <w:r>
        <w:t xml:space="preserve"> er meer data over historische wisselkoersen beschikbaar werd</w:t>
      </w:r>
      <w:r w:rsidR="00864485">
        <w:t>en</w:t>
      </w:r>
      <w:r w:rsidR="001019C1">
        <w:t>,</w:t>
      </w:r>
      <w:r w:rsidR="00864485">
        <w:t xml:space="preserve"> begon men toch te twijf</w:t>
      </w:r>
      <w:r>
        <w:t xml:space="preserve">elen aan het onderzoek. Langzaam verschoof de UIP van de categorie ‘nutteloos’, naar de categorie ‘wellicht bruikbaar’. In 2004 wisten Chinn en Meredith aan te tonen dat het UIP op de lange termijn in zekere mate wel de variantie in wisselkoersen kan verklaren. Helaas is deze proportie klein en blijven er nog veel onzekerheden </w:t>
      </w:r>
      <w:r w:rsidR="001019C1">
        <w:t>over</w:t>
      </w:r>
      <w:r>
        <w:t xml:space="preserve">. Een groot deel van de variantie zou door innovaties verklaard kunnen worden, ook wel nieuws genoemd. Nieuws kan zijn daadwerkelijke technologische innovaties, aankondigingen van politiek beleid, maar ook rampen en oorlogen vallen hier onder. Alles wat eerder niet verwacht of zeker was kan de wisselkoers beïnvloeden. </w:t>
      </w:r>
    </w:p>
    <w:p w:rsidR="00467176" w:rsidRDefault="00467176" w:rsidP="00467176">
      <w:pPr>
        <w:pStyle w:val="NoSpacing"/>
        <w:spacing w:line="360" w:lineRule="auto"/>
      </w:pPr>
      <w:r>
        <w:t>Bij het onderzoek naar de verklaringswaarde van de rentepariteit onder extreme omstandigheden</w:t>
      </w:r>
      <w:r w:rsidR="00864485">
        <w:t xml:space="preserve"> (hoge volatiliteit)</w:t>
      </w:r>
      <w:r>
        <w:t xml:space="preserve"> is gebleken dat de verklaringswaarde wel heel hoog is</w:t>
      </w:r>
      <w:r w:rsidR="003A54EE">
        <w:t>. Dit betekent</w:t>
      </w:r>
      <w:r>
        <w:t xml:space="preserve"> dat een grote proportie van de variantie in wisselkoersen voorspelbaar is. </w:t>
      </w:r>
    </w:p>
    <w:p w:rsidR="00467176" w:rsidRDefault="00467176" w:rsidP="00467176">
      <w:pPr>
        <w:pStyle w:val="NoSpacing"/>
        <w:spacing w:line="360" w:lineRule="auto"/>
      </w:pPr>
      <w:r>
        <w:t xml:space="preserve">Tot slot heb ik het Spaans Peseta’s Arrest beschreven. Zowel het Hof als de Hoge Raad </w:t>
      </w:r>
      <w:r w:rsidR="00864485">
        <w:t>ontkent</w:t>
      </w:r>
      <w:r>
        <w:t xml:space="preserve"> niet dat er een verband bestaat tussen de hoogte van de rente en wisselkoersen. Impliciet betekend dit dat de rentepariteit erkend word</w:t>
      </w:r>
      <w:r w:rsidR="00864485">
        <w:t>t</w:t>
      </w:r>
      <w:r>
        <w:t xml:space="preserve">. </w:t>
      </w:r>
    </w:p>
    <w:p w:rsidR="00467176" w:rsidRDefault="00467176" w:rsidP="00467176">
      <w:pPr>
        <w:pStyle w:val="NoSpacing"/>
        <w:spacing w:line="360" w:lineRule="auto"/>
      </w:pPr>
      <w:r>
        <w:t xml:space="preserve">De rentepariteit kan dus niet langer </w:t>
      </w:r>
      <w:r w:rsidR="00864485">
        <w:t>ontkend</w:t>
      </w:r>
      <w:r>
        <w:t xml:space="preserve"> worden. Wel moet er voorzichtig omgesprongen worden met het model, de verklaringswaarde is in de meeste gevallen namelijk erg laag. Het zal dan ook niet veel nut opleveren om met behulp van het model toekomstige valutaresultaten te voorspellen. </w:t>
      </w:r>
    </w:p>
    <w:p w:rsidR="00467176" w:rsidRDefault="00467176" w:rsidP="00751820">
      <w:pPr>
        <w:pStyle w:val="Heading1"/>
        <w:numPr>
          <w:ilvl w:val="0"/>
          <w:numId w:val="4"/>
        </w:numPr>
        <w:spacing w:line="360" w:lineRule="auto"/>
      </w:pPr>
      <w:bookmarkStart w:id="21" w:name="_Toc299359023"/>
      <w:r>
        <w:lastRenderedPageBreak/>
        <w:t>Beantwoording van de hoofdvraag</w:t>
      </w:r>
      <w:bookmarkEnd w:id="21"/>
    </w:p>
    <w:p w:rsidR="00467176" w:rsidRDefault="00467176" w:rsidP="00467176">
      <w:pPr>
        <w:pStyle w:val="NoSpacing"/>
        <w:spacing w:line="360" w:lineRule="auto"/>
      </w:pPr>
      <w:r>
        <w:t>De vraag die ik mij aan het begin van deze scriptie gesteld heb is de volgende:</w:t>
      </w:r>
    </w:p>
    <w:p w:rsidR="00467176" w:rsidRDefault="00467176" w:rsidP="00467176">
      <w:pPr>
        <w:pStyle w:val="NoSpacing"/>
        <w:spacing w:line="360" w:lineRule="auto"/>
        <w:rPr>
          <w:i/>
        </w:rPr>
      </w:pPr>
    </w:p>
    <w:p w:rsidR="00467176" w:rsidRDefault="00467176" w:rsidP="00467176">
      <w:pPr>
        <w:pStyle w:val="NoSpacing"/>
        <w:spacing w:line="360" w:lineRule="auto"/>
        <w:rPr>
          <w:i/>
        </w:rPr>
      </w:pPr>
      <w:r w:rsidRPr="00DB3B2B">
        <w:rPr>
          <w:i/>
        </w:rPr>
        <w:t>“In hoeverre kunnen valutaresultaten, die gerealiseerd worden bij een lening, worden voorspeld en hoe dient men hiermee om te gaan bij het bepalen van de rente aftrekbeperking van art</w:t>
      </w:r>
      <w:r w:rsidR="00BD13CA">
        <w:rPr>
          <w:i/>
        </w:rPr>
        <w:t>.</w:t>
      </w:r>
      <w:r w:rsidRPr="00DB3B2B">
        <w:rPr>
          <w:i/>
        </w:rPr>
        <w:t xml:space="preserve"> 10a</w:t>
      </w:r>
      <w:r w:rsidR="00BD13CA">
        <w:rPr>
          <w:i/>
        </w:rPr>
        <w:t xml:space="preserve"> Wet</w:t>
      </w:r>
      <w:r w:rsidRPr="00DB3B2B">
        <w:rPr>
          <w:i/>
        </w:rPr>
        <w:t xml:space="preserve"> VPB</w:t>
      </w:r>
      <w:r w:rsidR="00BD13CA">
        <w:rPr>
          <w:i/>
        </w:rPr>
        <w:t xml:space="preserve"> 1969</w:t>
      </w:r>
      <w:r w:rsidRPr="00DB3B2B">
        <w:rPr>
          <w:i/>
        </w:rPr>
        <w:t>?”</w:t>
      </w:r>
    </w:p>
    <w:p w:rsidR="00467176" w:rsidRPr="00DB3B2B" w:rsidRDefault="00467176" w:rsidP="00467176">
      <w:pPr>
        <w:pStyle w:val="NoSpacing"/>
        <w:spacing w:line="360" w:lineRule="auto"/>
        <w:rPr>
          <w:i/>
        </w:rPr>
      </w:pPr>
    </w:p>
    <w:p w:rsidR="00467176" w:rsidRDefault="00467176" w:rsidP="00467176">
      <w:pPr>
        <w:pStyle w:val="NoSpacing"/>
        <w:spacing w:line="360" w:lineRule="auto"/>
      </w:pPr>
      <w:proofErr w:type="gramStart"/>
      <w:r>
        <w:t>Art</w:t>
      </w:r>
      <w:r w:rsidR="00BD13CA">
        <w:t>.</w:t>
      </w:r>
      <w:r>
        <w:t xml:space="preserve"> </w:t>
      </w:r>
      <w:proofErr w:type="gramEnd"/>
      <w:r>
        <w:t>10a Wet VPB 1969 is een antimisbruikbepaling, waarbij het normvereiste de belangrijkste factor is. Als een rechtshandeling leidt tot uitholling van de grondslag, dan zal aftrek van rente, kosten en valutaresultaten beperkt worden tot nihil. De wetgever heeft valutaresultaten opgenomen in art</w:t>
      </w:r>
      <w:r w:rsidR="003A54EE">
        <w:t>.</w:t>
      </w:r>
      <w:r>
        <w:t xml:space="preserve"> 10a Wet VPB 1969 op basis van de rentepariteit. Als er uitgegaan word</w:t>
      </w:r>
      <w:r w:rsidR="003A54EE">
        <w:t>t</w:t>
      </w:r>
      <w:r>
        <w:t xml:space="preserve"> van dit model kunnen toe</w:t>
      </w:r>
      <w:r w:rsidR="00864485">
        <w:t>komstige wisselkoersen voorspeld</w:t>
      </w:r>
      <w:r>
        <w:t xml:space="preserve"> worden aan de hand van de rentestand en de huidige wisselkoers. Valutaresultaten worden daardoor een factor waar misbruik van gemaakt kan worden. Vervolgens ontstond er een discussie betreffende de behandeling van valutaresultaten binnen </w:t>
      </w:r>
      <w:r w:rsidR="00BD13CA">
        <w:t>art.</w:t>
      </w:r>
      <w:r>
        <w:t xml:space="preserve"> 10a Wet VPB 1969. Ik ben van mening dat de strikte interpretatie van de wetgever de juiste is op het moment dat valutaresultaten inderdaad voorspelbaar zijn. Bij deze toepassing worden valutaverliezen niet in aftrek gebracht van het belastbare resultaat, maar worden valutawinsten wel tot dit resultaat gerekend. In jurisprudentie en literatuur wordt er anders over gedacht. Valutaresultaten zijn geen volledig beheersbare factor, die een belastingplichtige kan gebruiken bij fiscaal gunstige constructies, die de heffingsgrondslag uithollen. Als valutaresultaten niet volledig voorspelbaar zijn</w:t>
      </w:r>
      <w:r w:rsidR="003A54EE">
        <w:t>,</w:t>
      </w:r>
      <w:r>
        <w:t xml:space="preserve"> is het naar mijn mening </w:t>
      </w:r>
      <w:r w:rsidR="003A54EE" w:rsidRPr="003A54EE">
        <w:t>in overeenstemming met doel en strekking van de bepaling om</w:t>
      </w:r>
      <w:r>
        <w:t xml:space="preserve"> slechts de voorspelbare proportie in de bepaling te betrekken. </w:t>
      </w:r>
    </w:p>
    <w:p w:rsidR="00467176" w:rsidRDefault="001019C1" w:rsidP="00467176">
      <w:pPr>
        <w:pStyle w:val="NoSpacing"/>
        <w:spacing w:line="360" w:lineRule="auto"/>
      </w:pPr>
      <w:r>
        <w:t>Als er gekeken wordt</w:t>
      </w:r>
      <w:r w:rsidR="00467176">
        <w:t xml:space="preserve"> naar het empirisch bewijs van de voorspelbaarheid van valutaresultaten, zien we dat het gebruik van de rentepariteit niet volledig onrealistisch is. Bij gebruik is het namelijk </w:t>
      </w:r>
      <w:r w:rsidR="003A54EE">
        <w:t>in redelijke mate te voorspellen</w:t>
      </w:r>
      <w:r w:rsidR="00467176">
        <w:t xml:space="preserve"> of er een valutawinst of verlies gemaakt zal worden. De hoogte ervan is echter onduidelijk. De proportie van de resultaten die voorspeld kan worden is heel erg klein. Het is mijns inzien dan ook erg moeilijk voor een belastingplichtige om misbruik te plegen met behulp van valutaresultaten. Zij kan </w:t>
      </w:r>
      <w:r>
        <w:t xml:space="preserve">niet </w:t>
      </w:r>
      <w:r w:rsidR="00467176">
        <w:t>weten hoe groot haar resultaat zal zijn en of dit de rentelasten, die bij de verbonden persoon belast worden, compenseer</w:t>
      </w:r>
      <w:r w:rsidR="00370AE2">
        <w:t>t</w:t>
      </w:r>
      <w:r w:rsidR="00467176">
        <w:t xml:space="preserve">. Slechts in extreme gevallen zal dit wel kunnen, </w:t>
      </w:r>
      <w:r w:rsidR="003404AC">
        <w:t xml:space="preserve">al schat ik in dat deze situaties slechts heel beperkt voor komen worden. </w:t>
      </w:r>
      <w:r>
        <w:t xml:space="preserve">Als een </w:t>
      </w:r>
      <w:proofErr w:type="gramStart"/>
      <w:r>
        <w:t>belastingplichtige</w:t>
      </w:r>
      <w:proofErr w:type="gramEnd"/>
      <w:r>
        <w:t xml:space="preserve"> misbruik wilt maken op een manier zoals bedoeld in art. 10a Wet VPB 1969, dan moet er sprake zijn van een zeer specifieke situatie. </w:t>
      </w:r>
      <w:r w:rsidR="009C19ED">
        <w:t>Er moet sprake zijn van een lening in een sterke munt (</w:t>
      </w:r>
      <w:r w:rsidR="00370AE2">
        <w:t>hoge prijs</w:t>
      </w:r>
      <w:r w:rsidR="009C19ED">
        <w:t xml:space="preserve"> ten opzicht van de eigen munt), die zeer volatiel is, zodat er grote forward contracten afgesloten worden. </w:t>
      </w:r>
      <w:r w:rsidR="003404AC">
        <w:t>D</w:t>
      </w:r>
      <w:r w:rsidR="00467176">
        <w:t xml:space="preserve">e wetgever zal zich tegen deze specifieke gevallen kunnen wapenen. Door slechts voor die gevallen </w:t>
      </w:r>
      <w:r w:rsidR="00467176">
        <w:lastRenderedPageBreak/>
        <w:t>beperking van aftrek van valutaverliezen in te stellen. Nu vraag ik mij wel af de voordelen hiervan tegen de admi</w:t>
      </w:r>
      <w:r w:rsidR="003404AC">
        <w:t>nistratieve rompslomp opwegen.</w:t>
      </w:r>
    </w:p>
    <w:p w:rsidR="00467176" w:rsidRDefault="009C19ED" w:rsidP="00467176">
      <w:pPr>
        <w:pStyle w:val="NoSpacing"/>
        <w:spacing w:line="360" w:lineRule="auto"/>
      </w:pPr>
      <w:r>
        <w:t>Tot slot ben i</w:t>
      </w:r>
      <w:r w:rsidR="00467176">
        <w:t xml:space="preserve">k van mening dat de wetgever de valutaresultaten uit de bepaling zal moeten schrappen. De rentepariteit biedt geen voldoende steun om valutaresultaten nog langer voort te laten bestaan in de bepaling. </w:t>
      </w:r>
      <w:r w:rsidR="008A07D1">
        <w:t>De voo</w:t>
      </w:r>
      <w:r w:rsidR="003A54EE">
        <w:t xml:space="preserve">rspellingskracht van het UIP is </w:t>
      </w:r>
      <w:r w:rsidR="008A07D1">
        <w:t xml:space="preserve">te laag om de splitsing in een risicovol en een risicovrij deel, zoals voorgesteld door Wattel, toe te passen. </w:t>
      </w:r>
      <w:r w:rsidR="00467176">
        <w:t>Het verband tussen de r</w:t>
      </w:r>
      <w:r w:rsidR="003404AC">
        <w:t>ente en valutaresultaten bestaat</w:t>
      </w:r>
      <w:r w:rsidR="00467176">
        <w:t xml:space="preserve">, maar is te summier om daadwerkelijk bruikbaar te zijn. Een vrijwel onvoorspelbare factor kan niet gebruik worden bij het maken van misbruik. Het past dan ook niet in het </w:t>
      </w:r>
      <w:proofErr w:type="spellStart"/>
      <w:r w:rsidR="00467176">
        <w:t>anti-misbruikkarakter</w:t>
      </w:r>
      <w:proofErr w:type="spellEnd"/>
      <w:r w:rsidR="00467176">
        <w:t xml:space="preserve"> van de onderliggende bepaling deze factor hierin te betrekken. </w:t>
      </w:r>
    </w:p>
    <w:p w:rsidR="009F60CF" w:rsidRDefault="00467176" w:rsidP="00467176">
      <w:pPr>
        <w:pStyle w:val="NoSpacing"/>
        <w:spacing w:line="360" w:lineRule="auto"/>
      </w:pPr>
      <w:r>
        <w:br w:type="page"/>
      </w:r>
    </w:p>
    <w:p w:rsidR="009F60CF" w:rsidRDefault="009F60CF" w:rsidP="00751820">
      <w:pPr>
        <w:pStyle w:val="Heading1"/>
        <w:numPr>
          <w:ilvl w:val="0"/>
          <w:numId w:val="4"/>
        </w:numPr>
      </w:pPr>
      <w:bookmarkStart w:id="22" w:name="_Toc299359024"/>
      <w:r>
        <w:lastRenderedPageBreak/>
        <w:t>Bronnen stuk tot fraus legis en tweede deel</w:t>
      </w:r>
      <w:bookmarkEnd w:id="22"/>
    </w:p>
    <w:p w:rsidR="009F60CF" w:rsidRDefault="009F60CF" w:rsidP="009F60CF">
      <w:pPr>
        <w:pStyle w:val="Heading2"/>
      </w:pPr>
      <w:bookmarkStart w:id="23" w:name="_Toc299359025"/>
      <w:r>
        <w:t>Hoge Raad</w:t>
      </w:r>
      <w:bookmarkEnd w:id="23"/>
    </w:p>
    <w:p w:rsidR="005858AB" w:rsidRDefault="005858AB" w:rsidP="005858AB">
      <w:pPr>
        <w:pStyle w:val="NoSpacing"/>
        <w:numPr>
          <w:ilvl w:val="0"/>
          <w:numId w:val="2"/>
        </w:numPr>
        <w:spacing w:line="360" w:lineRule="auto"/>
      </w:pPr>
      <w:r>
        <w:t>HR,</w:t>
      </w:r>
      <w:r w:rsidRPr="00360F12">
        <w:t xml:space="preserve"> 20</w:t>
      </w:r>
      <w:r>
        <w:t>-04-</w:t>
      </w:r>
      <w:r w:rsidRPr="00360F12">
        <w:t>1977</w:t>
      </w:r>
      <w:r>
        <w:t>, BNB 1977/162</w:t>
      </w:r>
    </w:p>
    <w:p w:rsidR="009F60CF" w:rsidRPr="003E31A0" w:rsidRDefault="009F60CF" w:rsidP="00B25173">
      <w:pPr>
        <w:pStyle w:val="NoSpacing"/>
        <w:numPr>
          <w:ilvl w:val="0"/>
          <w:numId w:val="2"/>
        </w:numPr>
        <w:spacing w:line="360" w:lineRule="auto"/>
      </w:pPr>
      <w:r>
        <w:t>HR, 26-04-1989, BNB 1989/217</w:t>
      </w:r>
    </w:p>
    <w:p w:rsidR="009F60CF" w:rsidRPr="003E31A0" w:rsidRDefault="009F60CF" w:rsidP="00B25173">
      <w:pPr>
        <w:pStyle w:val="NoSpacing"/>
        <w:numPr>
          <w:ilvl w:val="0"/>
          <w:numId w:val="2"/>
        </w:numPr>
        <w:spacing w:line="360" w:lineRule="auto"/>
      </w:pPr>
      <w:r>
        <w:t>HR, 10-03-1993, BNB 1993/196</w:t>
      </w:r>
    </w:p>
    <w:p w:rsidR="009F60CF" w:rsidRPr="003E31A0" w:rsidRDefault="009F60CF" w:rsidP="00B25173">
      <w:pPr>
        <w:pStyle w:val="NoSpacing"/>
        <w:numPr>
          <w:ilvl w:val="0"/>
          <w:numId w:val="2"/>
        </w:numPr>
        <w:spacing w:line="360" w:lineRule="auto"/>
      </w:pPr>
      <w:r>
        <w:t>HR, 10-03-1993, BNB 1993/194</w:t>
      </w:r>
    </w:p>
    <w:p w:rsidR="009F60CF" w:rsidRPr="00965138" w:rsidRDefault="009F60CF" w:rsidP="00B25173">
      <w:pPr>
        <w:pStyle w:val="NoSpacing"/>
        <w:numPr>
          <w:ilvl w:val="0"/>
          <w:numId w:val="2"/>
        </w:numPr>
        <w:spacing w:line="360" w:lineRule="auto"/>
      </w:pPr>
      <w:r>
        <w:t>HR, 10-03-1993, BNB 1993/197</w:t>
      </w:r>
    </w:p>
    <w:p w:rsidR="005858AB" w:rsidRDefault="005858AB" w:rsidP="005858AB">
      <w:pPr>
        <w:pStyle w:val="NoSpacing"/>
        <w:numPr>
          <w:ilvl w:val="0"/>
          <w:numId w:val="2"/>
        </w:numPr>
        <w:spacing w:line="360" w:lineRule="auto"/>
      </w:pPr>
      <w:r>
        <w:t>HR, 06-09-1995, BNB 1996/4</w:t>
      </w:r>
    </w:p>
    <w:p w:rsidR="00D97ED9" w:rsidRDefault="00D97ED9" w:rsidP="005858AB">
      <w:pPr>
        <w:pStyle w:val="NoSpacing"/>
        <w:numPr>
          <w:ilvl w:val="0"/>
          <w:numId w:val="2"/>
        </w:numPr>
        <w:spacing w:line="360" w:lineRule="auto"/>
      </w:pPr>
      <w:r>
        <w:t>HR, 27-09-1995, BNB 1996/6</w:t>
      </w:r>
    </w:p>
    <w:p w:rsidR="005858AB" w:rsidRDefault="005858AB" w:rsidP="005858AB">
      <w:pPr>
        <w:pStyle w:val="NoSpacing"/>
        <w:numPr>
          <w:ilvl w:val="0"/>
          <w:numId w:val="2"/>
        </w:numPr>
        <w:spacing w:line="360" w:lineRule="auto"/>
      </w:pPr>
      <w:r>
        <w:t xml:space="preserve">HR, 28-04-1999, </w:t>
      </w:r>
      <w:r w:rsidRPr="00DE27E8">
        <w:t>BNB 1999/313</w:t>
      </w:r>
    </w:p>
    <w:p w:rsidR="00F6141F" w:rsidRDefault="009F60CF" w:rsidP="00F6141F">
      <w:pPr>
        <w:pStyle w:val="NoSpacing"/>
        <w:numPr>
          <w:ilvl w:val="0"/>
          <w:numId w:val="2"/>
        </w:numPr>
        <w:spacing w:line="360" w:lineRule="auto"/>
      </w:pPr>
      <w:r>
        <w:t>HR, 08-02-2002, BNB 2002/118</w:t>
      </w:r>
      <w:r w:rsidR="00F6141F" w:rsidRPr="00F6141F">
        <w:t xml:space="preserve"> </w:t>
      </w:r>
    </w:p>
    <w:p w:rsidR="00D97ED9" w:rsidRDefault="00D97ED9" w:rsidP="005858AB">
      <w:pPr>
        <w:pStyle w:val="NoSpacing"/>
        <w:numPr>
          <w:ilvl w:val="0"/>
          <w:numId w:val="2"/>
        </w:numPr>
        <w:spacing w:line="360" w:lineRule="auto"/>
      </w:pPr>
      <w:r>
        <w:t>HR, 17-12-2004, BNB 2005/169</w:t>
      </w:r>
    </w:p>
    <w:p w:rsidR="00F53426" w:rsidRDefault="00F53426" w:rsidP="005858AB">
      <w:pPr>
        <w:pStyle w:val="NoSpacing"/>
        <w:numPr>
          <w:ilvl w:val="0"/>
          <w:numId w:val="2"/>
        </w:numPr>
        <w:spacing w:line="360" w:lineRule="auto"/>
      </w:pPr>
      <w:r>
        <w:t>HR, 24</w:t>
      </w:r>
      <w:r w:rsidR="00F6141F">
        <w:t>-03-</w:t>
      </w:r>
      <w:r>
        <w:t>2011, 10/03465, LJN: BQ 1248</w:t>
      </w:r>
    </w:p>
    <w:p w:rsidR="005858AB" w:rsidRDefault="00810A30" w:rsidP="005858AB">
      <w:pPr>
        <w:pStyle w:val="NoSpacing"/>
        <w:numPr>
          <w:ilvl w:val="0"/>
          <w:numId w:val="1"/>
        </w:numPr>
        <w:spacing w:line="360" w:lineRule="auto"/>
      </w:pPr>
      <w:r w:rsidRPr="005610F6">
        <w:t xml:space="preserve">AG </w:t>
      </w:r>
      <w:proofErr w:type="spellStart"/>
      <w:r w:rsidRPr="005610F6">
        <w:t>Wattel</w:t>
      </w:r>
      <w:proofErr w:type="spellEnd"/>
      <w:r w:rsidRPr="005610F6">
        <w:t xml:space="preserve">, </w:t>
      </w:r>
      <w:r w:rsidRPr="005858AB">
        <w:rPr>
          <w:bCs/>
        </w:rPr>
        <w:t>HR</w:t>
      </w:r>
      <w:r w:rsidRPr="004F04C4">
        <w:t>,</w:t>
      </w:r>
      <w:r w:rsidR="005858AB">
        <w:t xml:space="preserve"> 10-12-2010</w:t>
      </w:r>
      <w:r w:rsidR="00C55261">
        <w:t>,</w:t>
      </w:r>
      <w:r w:rsidR="005858AB">
        <w:t xml:space="preserve"> </w:t>
      </w:r>
      <w:r w:rsidRPr="004F04C4">
        <w:t>NR: 10/00076, LJ</w:t>
      </w:r>
      <w:r w:rsidR="005858AB">
        <w:t>N</w:t>
      </w:r>
      <w:r w:rsidRPr="004F04C4">
        <w:t xml:space="preserve">: BP1473 </w:t>
      </w:r>
    </w:p>
    <w:p w:rsidR="005858AB" w:rsidRDefault="005858AB" w:rsidP="005858AB">
      <w:pPr>
        <w:pStyle w:val="NoSpacing"/>
        <w:numPr>
          <w:ilvl w:val="0"/>
          <w:numId w:val="1"/>
        </w:numPr>
        <w:spacing w:line="360" w:lineRule="auto"/>
      </w:pPr>
      <w:r>
        <w:t>AG Wattel, HR, 24-03-2011, NR: 10/03465, LJN: BQ1248</w:t>
      </w:r>
    </w:p>
    <w:p w:rsidR="009F60CF" w:rsidRPr="00965138" w:rsidRDefault="009F60CF" w:rsidP="009F60CF">
      <w:pPr>
        <w:pStyle w:val="Heading2"/>
      </w:pPr>
      <w:bookmarkStart w:id="24" w:name="_Toc299359026"/>
      <w:r>
        <w:t>Hoven</w:t>
      </w:r>
      <w:bookmarkEnd w:id="24"/>
    </w:p>
    <w:p w:rsidR="009F60CF" w:rsidRDefault="009F60CF" w:rsidP="00B25173">
      <w:pPr>
        <w:pStyle w:val="NoSpacing"/>
        <w:numPr>
          <w:ilvl w:val="0"/>
          <w:numId w:val="3"/>
        </w:numPr>
        <w:spacing w:line="360" w:lineRule="auto"/>
      </w:pPr>
      <w:r w:rsidRPr="00AD47F9">
        <w:rPr>
          <w:rFonts w:hint="eastAsia"/>
        </w:rPr>
        <w:t xml:space="preserve">Hof </w:t>
      </w:r>
      <w:r>
        <w:t>’</w:t>
      </w:r>
      <w:r w:rsidRPr="00AD47F9">
        <w:rPr>
          <w:rFonts w:hint="eastAsia"/>
        </w:rPr>
        <w:t>s-Hertogenbosch</w:t>
      </w:r>
      <w:r>
        <w:t xml:space="preserve">, 08-02-2002, </w:t>
      </w:r>
      <w:r w:rsidR="00986A9C" w:rsidRPr="00986A9C">
        <w:rPr>
          <w:rFonts w:hint="eastAsia"/>
        </w:rPr>
        <w:t>98/0852</w:t>
      </w:r>
      <w:r w:rsidR="00986A9C">
        <w:t xml:space="preserve">, </w:t>
      </w:r>
      <w:r>
        <w:t>V-N 2002.23.1</w:t>
      </w:r>
      <w:r w:rsidR="00C969FC">
        <w:t>7</w:t>
      </w:r>
    </w:p>
    <w:p w:rsidR="00282EEA" w:rsidRPr="00965138" w:rsidRDefault="00282EEA" w:rsidP="00B25173">
      <w:pPr>
        <w:pStyle w:val="NoSpacing"/>
        <w:numPr>
          <w:ilvl w:val="0"/>
          <w:numId w:val="3"/>
        </w:numPr>
        <w:spacing w:line="360" w:lineRule="auto"/>
      </w:pPr>
      <w:r>
        <w:t>Hof</w:t>
      </w:r>
      <w:r w:rsidRPr="00767578">
        <w:t xml:space="preserve"> Amsterdam</w:t>
      </w:r>
      <w:r>
        <w:t>, 01-07-2010</w:t>
      </w:r>
      <w:r w:rsidRPr="00767578">
        <w:t>, 08/01339</w:t>
      </w:r>
      <w:r>
        <w:t>,</w:t>
      </w:r>
      <w:r w:rsidRPr="003F374F">
        <w:t xml:space="preserve"> </w:t>
      </w:r>
      <w:r w:rsidRPr="00767578">
        <w:t>LJN: BN1174</w:t>
      </w:r>
    </w:p>
    <w:p w:rsidR="009F60CF" w:rsidRDefault="009F60CF" w:rsidP="009F60CF">
      <w:pPr>
        <w:pStyle w:val="Heading2"/>
      </w:pPr>
      <w:bookmarkStart w:id="25" w:name="_Toc299359027"/>
      <w:r>
        <w:t>Rechtbanken</w:t>
      </w:r>
      <w:bookmarkEnd w:id="25"/>
    </w:p>
    <w:p w:rsidR="005858AB" w:rsidRPr="00FE1FE5" w:rsidRDefault="005858AB" w:rsidP="00B25173">
      <w:pPr>
        <w:pStyle w:val="NoSpacing"/>
        <w:numPr>
          <w:ilvl w:val="0"/>
          <w:numId w:val="3"/>
        </w:numPr>
        <w:spacing w:line="360" w:lineRule="auto"/>
      </w:pPr>
      <w:r>
        <w:t>Rechtbank Haarlem, 09-12-2008, AWB 08/3162</w:t>
      </w:r>
    </w:p>
    <w:p w:rsidR="009F60CF" w:rsidRDefault="009F60CF" w:rsidP="009F60CF">
      <w:pPr>
        <w:pStyle w:val="Heading2"/>
      </w:pPr>
      <w:bookmarkStart w:id="26" w:name="_Toc299359028"/>
      <w:r>
        <w:t>Literatuur</w:t>
      </w:r>
      <w:bookmarkEnd w:id="26"/>
    </w:p>
    <w:p w:rsidR="00282EEA" w:rsidRDefault="00282EEA" w:rsidP="00282EEA">
      <w:pPr>
        <w:pStyle w:val="NoSpacing"/>
        <w:numPr>
          <w:ilvl w:val="0"/>
          <w:numId w:val="3"/>
        </w:numPr>
        <w:spacing w:line="360" w:lineRule="auto"/>
        <w:rPr>
          <w:lang w:val="en-US"/>
        </w:rPr>
      </w:pPr>
      <w:r w:rsidRPr="008A3001">
        <w:rPr>
          <w:lang w:val="en-US"/>
        </w:rPr>
        <w:t xml:space="preserve">Anonymous, “Uncovered interest parity in practice”, </w:t>
      </w:r>
      <w:r>
        <w:rPr>
          <w:lang w:val="en-US"/>
        </w:rPr>
        <w:t>Bank of England quarterly bulletin, November 1997, p. 1</w:t>
      </w:r>
    </w:p>
    <w:p w:rsidR="003C778C" w:rsidRPr="00B25173" w:rsidRDefault="003C778C" w:rsidP="003C778C">
      <w:pPr>
        <w:pStyle w:val="NoSpacing"/>
        <w:numPr>
          <w:ilvl w:val="0"/>
          <w:numId w:val="3"/>
        </w:numPr>
        <w:spacing w:line="360" w:lineRule="auto"/>
      </w:pPr>
      <w:proofErr w:type="spellStart"/>
      <w:r w:rsidRPr="00B25173">
        <w:t>Bouwman</w:t>
      </w:r>
      <w:proofErr w:type="spellEnd"/>
      <w:r w:rsidRPr="00B25173">
        <w:t xml:space="preserve">, J.N., “Wegwijs in de Vennootschapsbelasting”, </w:t>
      </w:r>
      <w:proofErr w:type="spellStart"/>
      <w:r w:rsidRPr="00B25173">
        <w:t>Sdu</w:t>
      </w:r>
      <w:proofErr w:type="spellEnd"/>
      <w:r w:rsidRPr="00B25173">
        <w:t xml:space="preserve"> Uitgevers, Amersfoort, 2009</w:t>
      </w:r>
    </w:p>
    <w:p w:rsidR="003C778C" w:rsidRDefault="003C778C" w:rsidP="003C778C">
      <w:pPr>
        <w:pStyle w:val="NoSpacing"/>
        <w:numPr>
          <w:ilvl w:val="0"/>
          <w:numId w:val="3"/>
        </w:numPr>
        <w:spacing w:line="360" w:lineRule="auto"/>
        <w:rPr>
          <w:lang w:val="en-US"/>
        </w:rPr>
      </w:pPr>
      <w:proofErr w:type="spellStart"/>
      <w:r>
        <w:rPr>
          <w:lang w:val="en-US"/>
        </w:rPr>
        <w:t>Burda</w:t>
      </w:r>
      <w:proofErr w:type="spellEnd"/>
      <w:r>
        <w:rPr>
          <w:lang w:val="en-US"/>
        </w:rPr>
        <w:t xml:space="preserve">, M., C. </w:t>
      </w:r>
      <w:proofErr w:type="spellStart"/>
      <w:r>
        <w:rPr>
          <w:lang w:val="en-US"/>
        </w:rPr>
        <w:t>Wyplosz</w:t>
      </w:r>
      <w:proofErr w:type="spellEnd"/>
      <w:r>
        <w:rPr>
          <w:lang w:val="en-US"/>
        </w:rPr>
        <w:t xml:space="preserve">, “Macroeconomics, a European Text”, </w:t>
      </w:r>
      <w:proofErr w:type="spellStart"/>
      <w:r>
        <w:rPr>
          <w:lang w:val="en-US"/>
        </w:rPr>
        <w:t>Oxfort</w:t>
      </w:r>
      <w:proofErr w:type="spellEnd"/>
      <w:r>
        <w:rPr>
          <w:lang w:val="en-US"/>
        </w:rPr>
        <w:t xml:space="preserve"> University Press, New York, 2005, 4</w:t>
      </w:r>
      <w:r w:rsidRPr="00656458">
        <w:rPr>
          <w:vertAlign w:val="superscript"/>
          <w:lang w:val="en-US"/>
        </w:rPr>
        <w:t>th</w:t>
      </w:r>
      <w:r>
        <w:rPr>
          <w:lang w:val="en-US"/>
        </w:rPr>
        <w:t xml:space="preserve"> edition</w:t>
      </w:r>
    </w:p>
    <w:p w:rsidR="00282EEA" w:rsidRPr="008A3001" w:rsidRDefault="00282EEA" w:rsidP="00282EEA">
      <w:pPr>
        <w:pStyle w:val="NoSpacing"/>
        <w:numPr>
          <w:ilvl w:val="0"/>
          <w:numId w:val="3"/>
        </w:numPr>
        <w:spacing w:line="360" w:lineRule="auto"/>
        <w:rPr>
          <w:lang w:val="en-US"/>
        </w:rPr>
      </w:pPr>
      <w:r>
        <w:rPr>
          <w:lang w:val="en-US"/>
        </w:rPr>
        <w:t>Fisher et all, “Econometric evaluation of the exchange rate in models of the UK economy”, The Economic Journal, December 1990</w:t>
      </w:r>
    </w:p>
    <w:p w:rsidR="00282EEA" w:rsidRPr="00C557F2" w:rsidRDefault="00282EEA" w:rsidP="00282EEA">
      <w:pPr>
        <w:pStyle w:val="NoSpacing"/>
        <w:numPr>
          <w:ilvl w:val="0"/>
          <w:numId w:val="3"/>
        </w:numPr>
        <w:spacing w:line="360" w:lineRule="auto"/>
        <w:rPr>
          <w:lang w:val="en-US"/>
        </w:rPr>
      </w:pPr>
      <w:r>
        <w:rPr>
          <w:rFonts w:cs="Times New Roman"/>
          <w:lang w:val="en-US"/>
        </w:rPr>
        <w:t xml:space="preserve">Flood, R. P., A. K. Rose, “Uncovered Interest Parity in crisis”, </w:t>
      </w:r>
      <w:r w:rsidRPr="00C557F2">
        <w:rPr>
          <w:rFonts w:cs="Times New Roman"/>
          <w:lang w:val="en-US"/>
        </w:rPr>
        <w:t>IMF staff papers</w:t>
      </w:r>
      <w:r>
        <w:rPr>
          <w:rFonts w:cs="Times New Roman"/>
          <w:lang w:val="en-US"/>
        </w:rPr>
        <w:t>, 2002</w:t>
      </w:r>
    </w:p>
    <w:p w:rsidR="003C778C" w:rsidRPr="008A3001" w:rsidRDefault="00250EE2" w:rsidP="003C778C">
      <w:pPr>
        <w:pStyle w:val="NoSpacing"/>
        <w:numPr>
          <w:ilvl w:val="0"/>
          <w:numId w:val="3"/>
        </w:numPr>
        <w:spacing w:line="360" w:lineRule="auto"/>
        <w:rPr>
          <w:lang w:val="en-US"/>
        </w:rPr>
      </w:pPr>
      <w:proofErr w:type="spellStart"/>
      <w:r>
        <w:rPr>
          <w:lang w:val="en-US"/>
        </w:rPr>
        <w:t>Froot</w:t>
      </w:r>
      <w:proofErr w:type="spellEnd"/>
      <w:r>
        <w:rPr>
          <w:lang w:val="en-US"/>
        </w:rPr>
        <w:t>, Kenneth A.,</w:t>
      </w:r>
      <w:r w:rsidR="003C778C" w:rsidRPr="008A3001">
        <w:rPr>
          <w:lang w:val="en-US"/>
        </w:rPr>
        <w:t xml:space="preserve"> Richard H. </w:t>
      </w:r>
      <w:proofErr w:type="spellStart"/>
      <w:r w:rsidR="003C778C">
        <w:rPr>
          <w:lang w:val="en-US"/>
        </w:rPr>
        <w:t>Thaler</w:t>
      </w:r>
      <w:proofErr w:type="spellEnd"/>
      <w:r w:rsidR="003C778C">
        <w:rPr>
          <w:lang w:val="en-US"/>
        </w:rPr>
        <w:t>, “Foreign Exchange,” Jo</w:t>
      </w:r>
      <w:r>
        <w:rPr>
          <w:lang w:val="en-US"/>
        </w:rPr>
        <w:t xml:space="preserve">urnal of Economic Perspectives, 1990, </w:t>
      </w:r>
      <w:r w:rsidR="003C778C">
        <w:rPr>
          <w:lang w:val="en-US"/>
        </w:rPr>
        <w:t>Vol. 4 (Summer), pp. 179-92</w:t>
      </w:r>
    </w:p>
    <w:p w:rsidR="00282EEA" w:rsidRPr="00BE2E5B" w:rsidRDefault="00282EEA" w:rsidP="00282EEA">
      <w:pPr>
        <w:pStyle w:val="NoSpacing"/>
        <w:numPr>
          <w:ilvl w:val="0"/>
          <w:numId w:val="3"/>
        </w:numPr>
        <w:spacing w:line="360" w:lineRule="auto"/>
        <w:rPr>
          <w:lang w:val="en-US"/>
        </w:rPr>
      </w:pPr>
      <w:proofErr w:type="spellStart"/>
      <w:r w:rsidRPr="00BE2E5B">
        <w:rPr>
          <w:lang w:val="en-US"/>
        </w:rPr>
        <w:t>Huisman</w:t>
      </w:r>
      <w:proofErr w:type="spellEnd"/>
      <w:r w:rsidRPr="00BE2E5B">
        <w:rPr>
          <w:lang w:val="en-US"/>
        </w:rPr>
        <w:t xml:space="preserve">, R., K. </w:t>
      </w:r>
      <w:proofErr w:type="spellStart"/>
      <w:r w:rsidRPr="00BE2E5B">
        <w:rPr>
          <w:lang w:val="en-US"/>
        </w:rPr>
        <w:t>Koedijk</w:t>
      </w:r>
      <w:proofErr w:type="spellEnd"/>
      <w:r w:rsidRPr="00BE2E5B">
        <w:rPr>
          <w:lang w:val="en-US"/>
        </w:rPr>
        <w:t xml:space="preserve">, C. </w:t>
      </w:r>
      <w:proofErr w:type="spellStart"/>
      <w:r w:rsidRPr="00BE2E5B">
        <w:rPr>
          <w:lang w:val="en-US"/>
        </w:rPr>
        <w:t>Kool</w:t>
      </w:r>
      <w:proofErr w:type="spellEnd"/>
      <w:r w:rsidRPr="00BE2E5B">
        <w:rPr>
          <w:lang w:val="en-US"/>
        </w:rPr>
        <w:t xml:space="preserve">, F. </w:t>
      </w:r>
      <w:proofErr w:type="spellStart"/>
      <w:r w:rsidRPr="00BE2E5B">
        <w:rPr>
          <w:lang w:val="en-US"/>
        </w:rPr>
        <w:t>Nissen</w:t>
      </w:r>
      <w:proofErr w:type="spellEnd"/>
      <w:r w:rsidRPr="00BE2E5B">
        <w:rPr>
          <w:lang w:val="en-US"/>
        </w:rPr>
        <w:t>, “Extreme support for uncovered interest parity”, Elsevier Science B.V., 1998</w:t>
      </w:r>
    </w:p>
    <w:p w:rsidR="003C778C" w:rsidRDefault="003C778C" w:rsidP="003C778C">
      <w:pPr>
        <w:pStyle w:val="NoSpacing"/>
        <w:numPr>
          <w:ilvl w:val="0"/>
          <w:numId w:val="3"/>
        </w:numPr>
        <w:spacing w:line="360" w:lineRule="auto"/>
        <w:rPr>
          <w:lang w:val="en-US"/>
        </w:rPr>
      </w:pPr>
      <w:r w:rsidRPr="00073B1A">
        <w:rPr>
          <w:lang w:val="en-US"/>
        </w:rPr>
        <w:lastRenderedPageBreak/>
        <w:t xml:space="preserve">Mark, </w:t>
      </w:r>
      <w:r>
        <w:rPr>
          <w:lang w:val="en-US"/>
        </w:rPr>
        <w:t>N.C.</w:t>
      </w:r>
      <w:r w:rsidRPr="00073B1A">
        <w:rPr>
          <w:lang w:val="en-US"/>
        </w:rPr>
        <w:t>, “International Macroeconomics and Finance; Theory and Econometric Methods”, Ohio State University, Blackwell Publishing</w:t>
      </w:r>
      <w:r>
        <w:rPr>
          <w:lang w:val="en-US"/>
        </w:rPr>
        <w:t xml:space="preserve">, </w:t>
      </w:r>
      <w:r w:rsidRPr="00073B1A">
        <w:rPr>
          <w:lang w:val="en-US"/>
        </w:rPr>
        <w:t xml:space="preserve">2001, </w:t>
      </w:r>
    </w:p>
    <w:p w:rsidR="003C778C" w:rsidRDefault="003C778C" w:rsidP="003C778C">
      <w:pPr>
        <w:pStyle w:val="NoSpacing"/>
        <w:numPr>
          <w:ilvl w:val="0"/>
          <w:numId w:val="3"/>
        </w:numPr>
        <w:spacing w:line="360" w:lineRule="auto"/>
      </w:pPr>
      <w:proofErr w:type="spellStart"/>
      <w:r>
        <w:t>Marres</w:t>
      </w:r>
      <w:proofErr w:type="spellEnd"/>
      <w:r>
        <w:t xml:space="preserve">, O.C.R., “Winstdrainage door renteaftrek”, </w:t>
      </w:r>
      <w:proofErr w:type="spellStart"/>
      <w:r>
        <w:t>Kluwer</w:t>
      </w:r>
      <w:proofErr w:type="spellEnd"/>
      <w:r>
        <w:t>, Deventer 2005</w:t>
      </w:r>
    </w:p>
    <w:p w:rsidR="003C778C" w:rsidRPr="00F53426" w:rsidRDefault="003C778C" w:rsidP="003C778C">
      <w:pPr>
        <w:pStyle w:val="NoSpacing"/>
        <w:numPr>
          <w:ilvl w:val="0"/>
          <w:numId w:val="3"/>
        </w:numPr>
        <w:spacing w:line="360" w:lineRule="auto"/>
        <w:rPr>
          <w:lang w:val="en-US"/>
        </w:rPr>
      </w:pPr>
      <w:proofErr w:type="spellStart"/>
      <w:r w:rsidRPr="00F53426">
        <w:rPr>
          <w:lang w:val="en-US"/>
        </w:rPr>
        <w:t>Marrewijk</w:t>
      </w:r>
      <w:proofErr w:type="spellEnd"/>
      <w:r w:rsidRPr="00F53426">
        <w:rPr>
          <w:lang w:val="en-US"/>
        </w:rPr>
        <w:t>, C van, “International Economics; Theory, application and Policy”, Oxford University Press, 2007</w:t>
      </w:r>
    </w:p>
    <w:p w:rsidR="003C778C" w:rsidRPr="00073B1A" w:rsidRDefault="003C778C" w:rsidP="003C778C">
      <w:pPr>
        <w:pStyle w:val="NoSpacing"/>
        <w:numPr>
          <w:ilvl w:val="0"/>
          <w:numId w:val="3"/>
        </w:numPr>
        <w:spacing w:line="360" w:lineRule="auto"/>
        <w:rPr>
          <w:lang w:val="en-US"/>
        </w:rPr>
      </w:pPr>
      <w:r>
        <w:rPr>
          <w:lang w:val="en-US"/>
        </w:rPr>
        <w:t>Meese, A, Rogoff, K, “</w:t>
      </w:r>
      <w:r w:rsidRPr="00C0767B">
        <w:rPr>
          <w:lang w:val="en-US"/>
        </w:rPr>
        <w:t xml:space="preserve">EMPIRICAL EXCHANGE RATE MODELS OF THE SEVENTIES, </w:t>
      </w:r>
      <w:r w:rsidRPr="00C0767B">
        <w:rPr>
          <w:bCs/>
          <w:lang w:val="en-US"/>
        </w:rPr>
        <w:t>Do they fit out of sample?”</w:t>
      </w:r>
      <w:r>
        <w:rPr>
          <w:bCs/>
          <w:lang w:val="en-US"/>
        </w:rPr>
        <w:t xml:space="preserve">, </w:t>
      </w:r>
      <w:r w:rsidRPr="00C0767B">
        <w:rPr>
          <w:bCs/>
          <w:lang w:val="en-US"/>
        </w:rPr>
        <w:t xml:space="preserve">Journal of International Economics 14 (1983) 3-24. </w:t>
      </w:r>
      <w:r w:rsidRPr="006003EC">
        <w:rPr>
          <w:bCs/>
          <w:lang w:val="en-US"/>
        </w:rPr>
        <w:t>North-Holland Publishing Company</w:t>
      </w:r>
    </w:p>
    <w:p w:rsidR="003C778C" w:rsidRPr="006003EC" w:rsidRDefault="00B9503F" w:rsidP="003C778C">
      <w:pPr>
        <w:pStyle w:val="NoSpacing"/>
        <w:numPr>
          <w:ilvl w:val="0"/>
          <w:numId w:val="3"/>
        </w:numPr>
        <w:spacing w:line="360" w:lineRule="auto"/>
        <w:rPr>
          <w:lang w:val="en-US"/>
        </w:rPr>
      </w:pPr>
      <w:r w:rsidRPr="00C0767B">
        <w:rPr>
          <w:lang w:val="en-US"/>
        </w:rPr>
        <w:t>Meredith, G</w:t>
      </w:r>
      <w:r>
        <w:rPr>
          <w:lang w:val="en-US"/>
        </w:rPr>
        <w:t>., M. D. Chinn</w:t>
      </w:r>
      <w:r w:rsidR="003C778C" w:rsidRPr="00C0767B">
        <w:rPr>
          <w:lang w:val="en-US"/>
        </w:rPr>
        <w:t xml:space="preserve">, </w:t>
      </w:r>
      <w:r w:rsidR="003C778C">
        <w:rPr>
          <w:lang w:val="en-US"/>
        </w:rPr>
        <w:t>“</w:t>
      </w:r>
      <w:r w:rsidR="003C778C" w:rsidRPr="00C0767B">
        <w:rPr>
          <w:lang w:val="en-US"/>
        </w:rPr>
        <w:t>Monetary Policy and Long-Horizon Uncovered Interest Parity</w:t>
      </w:r>
      <w:r w:rsidR="003C778C">
        <w:rPr>
          <w:lang w:val="en-US"/>
        </w:rPr>
        <w:t xml:space="preserve">”, </w:t>
      </w:r>
      <w:r w:rsidR="003C778C" w:rsidRPr="00C0767B">
        <w:rPr>
          <w:lang w:val="en-US"/>
        </w:rPr>
        <w:t>IMF staff papers</w:t>
      </w:r>
      <w:r w:rsidR="003C778C">
        <w:rPr>
          <w:lang w:val="en-US"/>
        </w:rPr>
        <w:t>,</w:t>
      </w:r>
      <w:r w:rsidR="003C778C" w:rsidRPr="00C0767B">
        <w:rPr>
          <w:lang w:val="en-US"/>
        </w:rPr>
        <w:t xml:space="preserve"> 01</w:t>
      </w:r>
      <w:r w:rsidR="00250EE2">
        <w:rPr>
          <w:lang w:val="en-US"/>
        </w:rPr>
        <w:t>-</w:t>
      </w:r>
      <w:r w:rsidR="003C778C" w:rsidRPr="00C0767B">
        <w:rPr>
          <w:lang w:val="en-US"/>
        </w:rPr>
        <w:t>09</w:t>
      </w:r>
      <w:r w:rsidR="00250EE2">
        <w:rPr>
          <w:lang w:val="en-US"/>
        </w:rPr>
        <w:t>-</w:t>
      </w:r>
      <w:r w:rsidR="003C778C" w:rsidRPr="00C0767B">
        <w:rPr>
          <w:lang w:val="en-US"/>
        </w:rPr>
        <w:t>2004</w:t>
      </w:r>
      <w:r w:rsidR="003C778C">
        <w:rPr>
          <w:lang w:val="en-US"/>
        </w:rPr>
        <w:t>, page 409-410</w:t>
      </w:r>
    </w:p>
    <w:p w:rsidR="003C778C" w:rsidRPr="00E21E9B" w:rsidRDefault="003C778C" w:rsidP="003C778C">
      <w:pPr>
        <w:pStyle w:val="NoSpacing"/>
        <w:numPr>
          <w:ilvl w:val="0"/>
          <w:numId w:val="3"/>
        </w:numPr>
        <w:spacing w:line="360" w:lineRule="auto"/>
      </w:pPr>
      <w:proofErr w:type="spellStart"/>
      <w:r>
        <w:t>Strien</w:t>
      </w:r>
      <w:proofErr w:type="spellEnd"/>
      <w:r>
        <w:t>, J. van, “</w:t>
      </w:r>
      <w:r w:rsidRPr="00E21E9B">
        <w:rPr>
          <w:bCs/>
        </w:rPr>
        <w:t>Renteaftrekbeperkingen in de</w:t>
      </w:r>
      <w:r>
        <w:rPr>
          <w:bCs/>
        </w:rPr>
        <w:t xml:space="preserve"> </w:t>
      </w:r>
      <w:r w:rsidRPr="00E21E9B">
        <w:rPr>
          <w:bCs/>
        </w:rPr>
        <w:t>vennootschapsbelasting</w:t>
      </w:r>
      <w:r>
        <w:rPr>
          <w:bCs/>
        </w:rPr>
        <w:t>”, Proefschrift, Erasmus Universiteit Rotterdam, 2006</w:t>
      </w:r>
    </w:p>
    <w:p w:rsidR="009F60CF" w:rsidRDefault="009F60CF" w:rsidP="00B25173">
      <w:pPr>
        <w:pStyle w:val="NoSpacing"/>
        <w:numPr>
          <w:ilvl w:val="0"/>
          <w:numId w:val="3"/>
        </w:numPr>
        <w:spacing w:line="360" w:lineRule="auto"/>
      </w:pPr>
      <w:r w:rsidRPr="00A50AAC">
        <w:t xml:space="preserve">Strik, S.A.W.J. en N.H. de Vries, “Cursus Belastingrecht, Vennootschapsbelasting, </w:t>
      </w:r>
      <w:proofErr w:type="spellStart"/>
      <w:r w:rsidRPr="00A50AAC">
        <w:t>Kluwer</w:t>
      </w:r>
      <w:proofErr w:type="spellEnd"/>
      <w:r w:rsidRPr="00A50AAC">
        <w:t>, Deventer, 2010</w:t>
      </w:r>
    </w:p>
    <w:p w:rsidR="00A83612" w:rsidRDefault="00A83612" w:rsidP="00A83612">
      <w:pPr>
        <w:pStyle w:val="Heading2"/>
      </w:pPr>
      <w:r>
        <w:t>Wetgever</w:t>
      </w:r>
    </w:p>
    <w:p w:rsidR="00A83612" w:rsidRPr="00FE1FE5" w:rsidRDefault="00A83612" w:rsidP="00A83612">
      <w:pPr>
        <w:pStyle w:val="NoSpacing"/>
        <w:numPr>
          <w:ilvl w:val="0"/>
          <w:numId w:val="3"/>
        </w:numPr>
        <w:spacing w:line="360" w:lineRule="auto"/>
      </w:pPr>
      <w:bookmarkStart w:id="27" w:name="_Toc299359029"/>
      <w:r w:rsidRPr="00FE1FE5">
        <w:t>Tweede Kamer der Staten-</w:t>
      </w:r>
      <w:proofErr w:type="gramStart"/>
      <w:r w:rsidRPr="00FE1FE5">
        <w:t xml:space="preserve">Generaal </w:t>
      </w:r>
      <w:r>
        <w:t>,</w:t>
      </w:r>
      <w:proofErr w:type="gramEnd"/>
      <w:r w:rsidRPr="00FE1FE5">
        <w:t>Belastingplan 2004; Brief staatssecretaris met antwoorden op aanvullende vragen, publicatie</w:t>
      </w:r>
      <w:r>
        <w:t>:</w:t>
      </w:r>
      <w:r w:rsidRPr="00FE1FE5">
        <w:t xml:space="preserve"> 11-11-2003</w:t>
      </w:r>
    </w:p>
    <w:p w:rsidR="00A83612" w:rsidRDefault="00A83612" w:rsidP="00A83612">
      <w:pPr>
        <w:pStyle w:val="NoSpacing"/>
        <w:numPr>
          <w:ilvl w:val="0"/>
          <w:numId w:val="3"/>
        </w:numPr>
        <w:spacing w:line="360" w:lineRule="auto"/>
      </w:pPr>
      <w:r w:rsidRPr="0016411C">
        <w:t>MvT, Kamerstukken II 1995/1996, 24 696, nr. 3,</w:t>
      </w:r>
    </w:p>
    <w:p w:rsidR="00A83612" w:rsidRDefault="00A83612" w:rsidP="00A83612">
      <w:pPr>
        <w:pStyle w:val="NoSpacing"/>
        <w:numPr>
          <w:ilvl w:val="0"/>
          <w:numId w:val="3"/>
        </w:numPr>
        <w:spacing w:line="360" w:lineRule="auto"/>
      </w:pPr>
      <w:r w:rsidRPr="00767578">
        <w:t>Kamerstukken II 2003/04, 29 210, nr. 34, vraag 12, V-N 2003/57.18</w:t>
      </w:r>
    </w:p>
    <w:p w:rsidR="00A83612" w:rsidRPr="009F60CF" w:rsidRDefault="00A83612" w:rsidP="00A83612">
      <w:pPr>
        <w:pStyle w:val="NoSpacing"/>
        <w:numPr>
          <w:ilvl w:val="0"/>
          <w:numId w:val="3"/>
        </w:numPr>
        <w:spacing w:line="360" w:lineRule="auto"/>
      </w:pPr>
      <w:r>
        <w:t>S</w:t>
      </w:r>
      <w:r w:rsidRPr="00B25173">
        <w:t>taatsblad, publicatie 1996, 24 december 1996</w:t>
      </w:r>
      <w:r>
        <w:t xml:space="preserve">, </w:t>
      </w:r>
      <w:r w:rsidRPr="00B25173">
        <w:t>651</w:t>
      </w:r>
    </w:p>
    <w:bookmarkEnd w:id="27"/>
    <w:p w:rsidR="009F60CF" w:rsidRDefault="00A83612" w:rsidP="009F60CF">
      <w:pPr>
        <w:pStyle w:val="Heading2"/>
      </w:pPr>
      <w:r>
        <w:t>Kranten</w:t>
      </w:r>
    </w:p>
    <w:p w:rsidR="009F60CF" w:rsidRDefault="009F60CF" w:rsidP="00B25173">
      <w:pPr>
        <w:pStyle w:val="NoSpacing"/>
        <w:numPr>
          <w:ilvl w:val="0"/>
          <w:numId w:val="1"/>
        </w:numPr>
        <w:spacing w:line="360" w:lineRule="auto"/>
      </w:pPr>
      <w:proofErr w:type="spellStart"/>
      <w:r w:rsidRPr="00073B1A">
        <w:t>Iperen</w:t>
      </w:r>
      <w:proofErr w:type="spellEnd"/>
      <w:r w:rsidRPr="00073B1A">
        <w:t>, A. van, “Hamburgers zijn te duur, Mexico eet weer taco’s”, De Volkskrant, 18 mei 1996</w:t>
      </w:r>
    </w:p>
    <w:p w:rsidR="00A83612" w:rsidRPr="009F60CF" w:rsidRDefault="0033793F" w:rsidP="00A83612">
      <w:pPr>
        <w:pStyle w:val="NoSpacing"/>
        <w:numPr>
          <w:ilvl w:val="0"/>
          <w:numId w:val="1"/>
        </w:numPr>
        <w:spacing w:line="360" w:lineRule="auto"/>
      </w:pPr>
      <w:r w:rsidRPr="005051A4">
        <w:t>Giebels, R., “</w:t>
      </w:r>
      <w:r>
        <w:t>Japan zet</w:t>
      </w:r>
      <w:r w:rsidRPr="005051A4">
        <w:t xml:space="preserve"> rente komende jaren op 0”</w:t>
      </w:r>
      <w:r>
        <w:t>, De Volkskrant, 05-10-2010</w:t>
      </w:r>
    </w:p>
    <w:sectPr w:rsidR="00A83612" w:rsidRPr="009F60CF" w:rsidSect="00A969B7">
      <w:footerReference w:type="default" r:id="rId14"/>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5D7A" w:rsidRDefault="00EF5D7A" w:rsidP="009F60CF">
      <w:pPr>
        <w:spacing w:after="0" w:line="240" w:lineRule="auto"/>
      </w:pPr>
      <w:r>
        <w:separator/>
      </w:r>
    </w:p>
  </w:endnote>
  <w:endnote w:type="continuationSeparator" w:id="0">
    <w:p w:rsidR="00EF5D7A" w:rsidRDefault="00EF5D7A" w:rsidP="009F60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85938"/>
      <w:docPartObj>
        <w:docPartGallery w:val="Page Numbers (Bottom of Page)"/>
        <w:docPartUnique/>
      </w:docPartObj>
    </w:sdtPr>
    <w:sdtContent>
      <w:p w:rsidR="00024FC1" w:rsidRDefault="00024FC1">
        <w:pPr>
          <w:pStyle w:val="Footer"/>
          <w:jc w:val="right"/>
        </w:pPr>
        <w:fldSimple w:instr=" PAGE   \* MERGEFORMAT ">
          <w:r w:rsidR="009646CF">
            <w:rPr>
              <w:noProof/>
            </w:rPr>
            <w:t>2</w:t>
          </w:r>
        </w:fldSimple>
      </w:p>
    </w:sdtContent>
  </w:sdt>
  <w:p w:rsidR="00024FC1" w:rsidRDefault="00024FC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5D7A" w:rsidRDefault="00EF5D7A" w:rsidP="009F60CF">
      <w:pPr>
        <w:spacing w:after="0" w:line="240" w:lineRule="auto"/>
      </w:pPr>
      <w:r>
        <w:separator/>
      </w:r>
    </w:p>
  </w:footnote>
  <w:footnote w:type="continuationSeparator" w:id="0">
    <w:p w:rsidR="00EF5D7A" w:rsidRDefault="00EF5D7A" w:rsidP="009F60CF">
      <w:pPr>
        <w:spacing w:after="0" w:line="240" w:lineRule="auto"/>
      </w:pPr>
      <w:r>
        <w:continuationSeparator/>
      </w:r>
    </w:p>
  </w:footnote>
  <w:footnote w:id="1">
    <w:p w:rsidR="00024FC1" w:rsidRPr="0047671E" w:rsidRDefault="00024FC1" w:rsidP="00024FC1">
      <w:pPr>
        <w:pStyle w:val="FootnoteText"/>
        <w:rPr>
          <w:rFonts w:asciiTheme="minorHAnsi" w:hAnsiTheme="minorHAnsi" w:cstheme="minorHAnsi"/>
        </w:rPr>
      </w:pPr>
      <w:r w:rsidRPr="0047671E">
        <w:rPr>
          <w:rStyle w:val="FootnoteReference"/>
          <w:rFonts w:asciiTheme="minorHAnsi" w:hAnsiTheme="minorHAnsi" w:cstheme="minorHAnsi"/>
        </w:rPr>
        <w:footnoteRef/>
      </w:r>
      <w:r w:rsidRPr="0047671E">
        <w:rPr>
          <w:rFonts w:asciiTheme="minorHAnsi" w:hAnsiTheme="minorHAnsi" w:cstheme="minorHAnsi"/>
        </w:rPr>
        <w:t xml:space="preserve"> 24 december 1996, staatsblad, publicatie 1996, 651</w:t>
      </w:r>
    </w:p>
  </w:footnote>
  <w:footnote w:id="2">
    <w:p w:rsidR="00024FC1" w:rsidRPr="00742312" w:rsidRDefault="00024FC1" w:rsidP="00024FC1">
      <w:pPr>
        <w:pStyle w:val="FootnoteText"/>
      </w:pPr>
      <w:r>
        <w:rPr>
          <w:rStyle w:val="FootnoteReference"/>
        </w:rPr>
        <w:footnoteRef/>
      </w:r>
      <w:r>
        <w:t xml:space="preserve"> Strik, S.A.W.J., “Cursus Belastingrecht VPB”, </w:t>
      </w:r>
      <w:proofErr w:type="spellStart"/>
      <w:r>
        <w:t>Kluwer</w:t>
      </w:r>
      <w:proofErr w:type="spellEnd"/>
      <w:r>
        <w:t xml:space="preserve">, </w:t>
      </w:r>
      <w:r w:rsidR="0047671E">
        <w:t>D</w:t>
      </w:r>
      <w:r>
        <w:t xml:space="preserve">eventer, </w:t>
      </w:r>
      <w:r w:rsidRPr="00742312">
        <w:rPr>
          <w:rFonts w:hint="eastAsia"/>
        </w:rPr>
        <w:t>2009-04-01</w:t>
      </w:r>
      <w:r>
        <w:t>, 2.2.3.C.c</w:t>
      </w:r>
    </w:p>
  </w:footnote>
  <w:footnote w:id="3">
    <w:p w:rsidR="00024FC1" w:rsidRPr="003F0D26" w:rsidRDefault="00024FC1" w:rsidP="00024FC1">
      <w:pPr>
        <w:pStyle w:val="FootnoteText"/>
      </w:pPr>
      <w:r>
        <w:rPr>
          <w:rStyle w:val="FootnoteReference"/>
        </w:rPr>
        <w:footnoteRef/>
      </w:r>
      <w:r>
        <w:t xml:space="preserve"> </w:t>
      </w:r>
      <w:r w:rsidRPr="003F0D26">
        <w:t>Rechtban</w:t>
      </w:r>
      <w:r>
        <w:t>k</w:t>
      </w:r>
      <w:r w:rsidRPr="003F0D26">
        <w:t xml:space="preserve"> </w:t>
      </w:r>
      <w:r w:rsidR="0047671E">
        <w:t>H</w:t>
      </w:r>
      <w:r w:rsidRPr="003F0D26">
        <w:t xml:space="preserve">aarlem, 08-12-2011, </w:t>
      </w:r>
      <w:r w:rsidRPr="003F0D26">
        <w:rPr>
          <w:rFonts w:hint="eastAsia"/>
        </w:rPr>
        <w:t>AWB 08/3162</w:t>
      </w:r>
    </w:p>
  </w:footnote>
  <w:footnote w:id="4">
    <w:p w:rsidR="00024FC1" w:rsidRPr="00072B80" w:rsidRDefault="00024FC1" w:rsidP="00024FC1">
      <w:pPr>
        <w:pStyle w:val="FootnoteText"/>
      </w:pPr>
      <w:r>
        <w:rPr>
          <w:rStyle w:val="FootnoteReference"/>
        </w:rPr>
        <w:footnoteRef/>
      </w:r>
      <w:r>
        <w:t xml:space="preserve"> Belastingplan 2004; Brief staatssecretaris met antwoorden op aanvullende vragen, Tweede Kamer der Staten-Generaal, publicatie 11-11-2003</w:t>
      </w:r>
    </w:p>
  </w:footnote>
  <w:footnote w:id="5">
    <w:p w:rsidR="00024FC1" w:rsidRPr="00157E06" w:rsidRDefault="00024FC1" w:rsidP="00024FC1">
      <w:pPr>
        <w:pStyle w:val="FootnoteText"/>
      </w:pPr>
      <w:r>
        <w:rPr>
          <w:rStyle w:val="FootnoteReference"/>
        </w:rPr>
        <w:footnoteRef/>
      </w:r>
      <w:r>
        <w:t xml:space="preserve"> </w:t>
      </w:r>
      <w:r>
        <w:rPr>
          <w:rStyle w:val="FootnoteReference"/>
        </w:rPr>
        <w:footnoteRef/>
      </w:r>
      <w:r>
        <w:t xml:space="preserve"> </w:t>
      </w:r>
      <w:r w:rsidRPr="00882032">
        <w:t xml:space="preserve">AG </w:t>
      </w:r>
      <w:proofErr w:type="spellStart"/>
      <w:r w:rsidRPr="00882032">
        <w:t>Wattel</w:t>
      </w:r>
      <w:proofErr w:type="spellEnd"/>
      <w:r w:rsidRPr="00882032">
        <w:t>, HR, 24-</w:t>
      </w:r>
      <w:r>
        <w:t>03</w:t>
      </w:r>
      <w:r w:rsidRPr="00882032">
        <w:t xml:space="preserve">-2011, </w:t>
      </w:r>
      <w:r>
        <w:t xml:space="preserve">NR: </w:t>
      </w:r>
      <w:r w:rsidRPr="00882032">
        <w:t>10.03465, LJN: B1248</w:t>
      </w:r>
      <w:r>
        <w:t>, 6.11</w:t>
      </w:r>
    </w:p>
  </w:footnote>
  <w:footnote w:id="6">
    <w:p w:rsidR="00024FC1" w:rsidRPr="00EE452E" w:rsidRDefault="00024FC1" w:rsidP="009F60CF">
      <w:pPr>
        <w:pStyle w:val="FootnoteText"/>
      </w:pPr>
      <w:r>
        <w:rPr>
          <w:rStyle w:val="FootnoteReference"/>
        </w:rPr>
        <w:footnoteRef/>
      </w:r>
      <w:r>
        <w:t xml:space="preserve"> Echter dit was voor de belastingherziening van 1950 wel het geval. In art 12-3 Besluit op de inkomstenbelasting 1941 stond dit beschreven. Tegenwoordig volg dit uit de </w:t>
      </w:r>
      <w:proofErr w:type="spellStart"/>
      <w:r>
        <w:t>totaalwinstbepaling</w:t>
      </w:r>
      <w:proofErr w:type="spellEnd"/>
      <w:r>
        <w:t xml:space="preserve"> van art. 3.8 Wet IB 2002. </w:t>
      </w:r>
      <w:proofErr w:type="spellStart"/>
      <w:r w:rsidRPr="00EE452E">
        <w:t>Marres</w:t>
      </w:r>
      <w:proofErr w:type="spellEnd"/>
      <w:r w:rsidRPr="00EE452E">
        <w:t>, O.C.R., “Winstdrainage door renteaftrek</w:t>
      </w:r>
      <w:r>
        <w:t xml:space="preserve">”, </w:t>
      </w:r>
      <w:proofErr w:type="spellStart"/>
      <w:r>
        <w:t>Kluwer</w:t>
      </w:r>
      <w:proofErr w:type="spellEnd"/>
      <w:r>
        <w:t xml:space="preserve">, Deventer 2005, p 5. </w:t>
      </w:r>
    </w:p>
  </w:footnote>
  <w:footnote w:id="7">
    <w:p w:rsidR="00024FC1" w:rsidRPr="00A50AAC" w:rsidRDefault="00024FC1" w:rsidP="009F60CF">
      <w:pPr>
        <w:pStyle w:val="FootnoteText"/>
      </w:pPr>
      <w:r>
        <w:rPr>
          <w:rStyle w:val="FootnoteReference"/>
        </w:rPr>
        <w:footnoteRef/>
      </w:r>
      <w:r>
        <w:t xml:space="preserve"> </w:t>
      </w:r>
      <w:r w:rsidRPr="00A50AAC">
        <w:t xml:space="preserve">Strik, S.A.W.J. </w:t>
      </w:r>
      <w:r>
        <w:t>&amp;</w:t>
      </w:r>
      <w:r w:rsidRPr="00A50AAC">
        <w:t xml:space="preserve"> N.H. de Vries, “Cursus Belastingrecht, Vennootschapsbelasting, </w:t>
      </w:r>
      <w:proofErr w:type="spellStart"/>
      <w:r w:rsidRPr="00A50AAC">
        <w:t>Kluwer</w:t>
      </w:r>
      <w:proofErr w:type="spellEnd"/>
      <w:r w:rsidRPr="00A50AAC">
        <w:t>, Deventer, 2010, 0.0.1.</w:t>
      </w:r>
      <w:r>
        <w:t>d, p 5</w:t>
      </w:r>
    </w:p>
  </w:footnote>
  <w:footnote w:id="8">
    <w:p w:rsidR="00024FC1" w:rsidRPr="009E5D4C" w:rsidRDefault="00024FC1" w:rsidP="009F60CF">
      <w:pPr>
        <w:pStyle w:val="FootnoteText"/>
      </w:pPr>
      <w:r>
        <w:rPr>
          <w:rStyle w:val="FootnoteReference"/>
        </w:rPr>
        <w:footnoteRef/>
      </w:r>
      <w:r>
        <w:t xml:space="preserve"> </w:t>
      </w:r>
      <w:proofErr w:type="spellStart"/>
      <w:r w:rsidRPr="00EE452E">
        <w:t>Marres</w:t>
      </w:r>
      <w:proofErr w:type="spellEnd"/>
      <w:r w:rsidRPr="00EE452E">
        <w:t>, O.C.R., “Winstdrainage door renteaftrek</w:t>
      </w:r>
      <w:r>
        <w:t xml:space="preserve">”, </w:t>
      </w:r>
      <w:proofErr w:type="spellStart"/>
      <w:r>
        <w:t>Kluwer</w:t>
      </w:r>
      <w:proofErr w:type="spellEnd"/>
      <w:r>
        <w:t>, Deventer 2005, p. 5-6</w:t>
      </w:r>
    </w:p>
  </w:footnote>
  <w:footnote w:id="9">
    <w:p w:rsidR="00024FC1" w:rsidRDefault="00024FC1" w:rsidP="00AF7F7A">
      <w:pPr>
        <w:pStyle w:val="FootnoteText"/>
      </w:pPr>
      <w:r>
        <w:rPr>
          <w:rStyle w:val="FootnoteReference"/>
        </w:rPr>
        <w:footnoteRef/>
      </w:r>
      <w:r>
        <w:t xml:space="preserve"> </w:t>
      </w:r>
      <w:proofErr w:type="spellStart"/>
      <w:r w:rsidRPr="00991710">
        <w:t>Strien</w:t>
      </w:r>
      <w:proofErr w:type="spellEnd"/>
      <w:r w:rsidRPr="00991710">
        <w:t>, J. van, “</w:t>
      </w:r>
      <w:r w:rsidRPr="00991710">
        <w:rPr>
          <w:bCs/>
        </w:rPr>
        <w:t>Renteaftrekbeperkingen in de vennootschapsbelasting”, Proefschrift, Erasmus Universiteit Rotterdam, 2006</w:t>
      </w:r>
      <w:r>
        <w:rPr>
          <w:bCs/>
        </w:rPr>
        <w:t>,</w:t>
      </w:r>
      <w:r>
        <w:t xml:space="preserve"> p. 11-12 &amp; p. 267-268</w:t>
      </w:r>
    </w:p>
  </w:footnote>
  <w:footnote w:id="10">
    <w:p w:rsidR="00024FC1" w:rsidRPr="005C0F0E" w:rsidRDefault="00024FC1">
      <w:pPr>
        <w:pStyle w:val="FootnoteText"/>
      </w:pPr>
      <w:r>
        <w:rPr>
          <w:rStyle w:val="FootnoteReference"/>
        </w:rPr>
        <w:footnoteRef/>
      </w:r>
      <w:r>
        <w:t xml:space="preserve"> Deels gebaseerd op HR, 08-02-2002, BNB 1989/217</w:t>
      </w:r>
    </w:p>
  </w:footnote>
  <w:footnote w:id="11">
    <w:p w:rsidR="00024FC1" w:rsidRDefault="00024FC1" w:rsidP="009F60CF">
      <w:pPr>
        <w:pStyle w:val="FootnoteText"/>
      </w:pPr>
      <w:r>
        <w:rPr>
          <w:rStyle w:val="FootnoteReference"/>
        </w:rPr>
        <w:footnoteRef/>
      </w:r>
      <w:r>
        <w:t xml:space="preserve"> </w:t>
      </w:r>
      <w:r w:rsidRPr="003D66B6">
        <w:t>Gecumuleerd tarief</w:t>
      </w:r>
      <w:r>
        <w:t xml:space="preserve"> 25% VPB en 25% IB Box 2 vormen samen een belastingdruk van 43.7%. Ook de uiteindelijke aandeelhouders (natuurlijke personen) van de schuldeiser worden in de inkomstenbelasting belast. </w:t>
      </w:r>
    </w:p>
  </w:footnote>
  <w:footnote w:id="12">
    <w:p w:rsidR="00024FC1" w:rsidRPr="003E31A0" w:rsidRDefault="00024FC1" w:rsidP="009F60CF">
      <w:pPr>
        <w:pStyle w:val="FootnoteText"/>
      </w:pPr>
      <w:r>
        <w:rPr>
          <w:rStyle w:val="FootnoteReference"/>
        </w:rPr>
        <w:footnoteRef/>
      </w:r>
      <w:r>
        <w:t xml:space="preserve"> HR, 26-04-1989, BNB 1989/217</w:t>
      </w:r>
    </w:p>
  </w:footnote>
  <w:footnote w:id="13">
    <w:p w:rsidR="00024FC1" w:rsidRPr="003E31A0" w:rsidRDefault="00024FC1" w:rsidP="00D97ED9">
      <w:pPr>
        <w:pStyle w:val="FootnoteText"/>
      </w:pPr>
      <w:r>
        <w:rPr>
          <w:rStyle w:val="FootnoteReference"/>
        </w:rPr>
        <w:footnoteRef/>
      </w:r>
      <w:r>
        <w:t xml:space="preserve"> HR, 26-04-1989, BNB 1989/217, 4.3.3</w:t>
      </w:r>
    </w:p>
  </w:footnote>
  <w:footnote w:id="14">
    <w:p w:rsidR="00024FC1" w:rsidRPr="00611CA8" w:rsidRDefault="00024FC1" w:rsidP="009F60CF">
      <w:pPr>
        <w:pStyle w:val="FootnoteText"/>
      </w:pPr>
      <w:r>
        <w:rPr>
          <w:rStyle w:val="FootnoteReference"/>
        </w:rPr>
        <w:footnoteRef/>
      </w:r>
      <w:r>
        <w:t xml:space="preserve"> </w:t>
      </w:r>
      <w:proofErr w:type="spellStart"/>
      <w:r w:rsidRPr="00611CA8">
        <w:t>Strien</w:t>
      </w:r>
      <w:proofErr w:type="spellEnd"/>
      <w:r w:rsidRPr="00611CA8">
        <w:t>, J. van, “</w:t>
      </w:r>
      <w:r w:rsidRPr="00611CA8">
        <w:rPr>
          <w:bCs/>
        </w:rPr>
        <w:t>Renteaftrekbeperkingen in de vennootschapsbelasting”, Proefschrift, Erasmus Universiteit Rotterdam, 2006</w:t>
      </w:r>
      <w:r>
        <w:t>, p 253</w:t>
      </w:r>
    </w:p>
  </w:footnote>
  <w:footnote w:id="15">
    <w:p w:rsidR="00024FC1" w:rsidRPr="003E31A0" w:rsidRDefault="00024FC1" w:rsidP="009F60CF">
      <w:pPr>
        <w:pStyle w:val="FootnoteText"/>
      </w:pPr>
      <w:r>
        <w:rPr>
          <w:rStyle w:val="FootnoteReference"/>
        </w:rPr>
        <w:footnoteRef/>
      </w:r>
      <w:r>
        <w:t xml:space="preserve"> HR, 10-03-1993, BNB 1993/196</w:t>
      </w:r>
    </w:p>
  </w:footnote>
  <w:footnote w:id="16">
    <w:p w:rsidR="00024FC1" w:rsidRPr="003E31A0" w:rsidRDefault="00024FC1" w:rsidP="009F60CF">
      <w:pPr>
        <w:pStyle w:val="FootnoteText"/>
      </w:pPr>
      <w:r>
        <w:rPr>
          <w:rStyle w:val="FootnoteReference"/>
        </w:rPr>
        <w:footnoteRef/>
      </w:r>
      <w:r>
        <w:t xml:space="preserve"> HR, 10-03-1993, BNB 1993/194</w:t>
      </w:r>
    </w:p>
  </w:footnote>
  <w:footnote w:id="17">
    <w:p w:rsidR="00024FC1" w:rsidRPr="00E21E9B" w:rsidRDefault="00024FC1" w:rsidP="009F60CF">
      <w:pPr>
        <w:pStyle w:val="FootnoteText"/>
      </w:pPr>
      <w:r>
        <w:rPr>
          <w:rStyle w:val="FootnoteReference"/>
        </w:rPr>
        <w:footnoteRef/>
      </w:r>
      <w:r>
        <w:t xml:space="preserve"> </w:t>
      </w:r>
      <w:proofErr w:type="spellStart"/>
      <w:r>
        <w:t>Strien</w:t>
      </w:r>
      <w:proofErr w:type="spellEnd"/>
      <w:r>
        <w:t>, J. van, “</w:t>
      </w:r>
      <w:r w:rsidRPr="00E21E9B">
        <w:rPr>
          <w:bCs/>
        </w:rPr>
        <w:t>Renteaftrekbeperkingen in de</w:t>
      </w:r>
      <w:r>
        <w:rPr>
          <w:bCs/>
        </w:rPr>
        <w:t xml:space="preserve"> </w:t>
      </w:r>
      <w:r w:rsidRPr="00E21E9B">
        <w:rPr>
          <w:bCs/>
        </w:rPr>
        <w:t>vennootschapsbelasting</w:t>
      </w:r>
      <w:r>
        <w:rPr>
          <w:bCs/>
        </w:rPr>
        <w:t>”, Proefschrift, Erasmus Universiteit Rotterdam, 2006</w:t>
      </w:r>
    </w:p>
  </w:footnote>
  <w:footnote w:id="18">
    <w:p w:rsidR="00024FC1" w:rsidRPr="00965138" w:rsidRDefault="00024FC1" w:rsidP="009F60CF">
      <w:pPr>
        <w:pStyle w:val="FootnoteText"/>
      </w:pPr>
      <w:r>
        <w:rPr>
          <w:rStyle w:val="FootnoteReference"/>
        </w:rPr>
        <w:footnoteRef/>
      </w:r>
      <w:r>
        <w:t xml:space="preserve"> HR, 10-03-1993, BNB 1993/197</w:t>
      </w:r>
    </w:p>
  </w:footnote>
  <w:footnote w:id="19">
    <w:p w:rsidR="00024FC1" w:rsidRPr="00AD47F9" w:rsidRDefault="00024FC1" w:rsidP="009F60CF">
      <w:pPr>
        <w:pStyle w:val="FootnoteText"/>
      </w:pPr>
      <w:r>
        <w:rPr>
          <w:rStyle w:val="FootnoteReference"/>
        </w:rPr>
        <w:footnoteRef/>
      </w:r>
      <w:r>
        <w:t xml:space="preserve"> HR, 10-03-1993, BNB 1993/197, 3.3</w:t>
      </w:r>
    </w:p>
  </w:footnote>
  <w:footnote w:id="20">
    <w:p w:rsidR="00024FC1" w:rsidRPr="00965138" w:rsidRDefault="00024FC1" w:rsidP="009F60CF">
      <w:pPr>
        <w:pStyle w:val="FootnoteText"/>
      </w:pPr>
      <w:r>
        <w:rPr>
          <w:rStyle w:val="FootnoteReference"/>
        </w:rPr>
        <w:footnoteRef/>
      </w:r>
      <w:r>
        <w:t xml:space="preserve"> </w:t>
      </w:r>
      <w:r w:rsidRPr="00AD47F9">
        <w:rPr>
          <w:rFonts w:hint="eastAsia"/>
        </w:rPr>
        <w:t xml:space="preserve">Hof </w:t>
      </w:r>
      <w:r>
        <w:t>’</w:t>
      </w:r>
      <w:r w:rsidRPr="00AD47F9">
        <w:rPr>
          <w:rFonts w:hint="eastAsia"/>
        </w:rPr>
        <w:t>s-Hertogenbosch</w:t>
      </w:r>
      <w:r>
        <w:t>, 08-02-2002, V-N 2002.23.17, 4.3.2</w:t>
      </w:r>
    </w:p>
  </w:footnote>
  <w:footnote w:id="21">
    <w:p w:rsidR="00024FC1" w:rsidRPr="00965138" w:rsidRDefault="00024FC1" w:rsidP="009F60CF">
      <w:pPr>
        <w:pStyle w:val="FootnoteText"/>
      </w:pPr>
      <w:r>
        <w:rPr>
          <w:rStyle w:val="FootnoteReference"/>
        </w:rPr>
        <w:footnoteRef/>
      </w:r>
      <w:r>
        <w:t xml:space="preserve"> HR, 08-02-2002, BNB 2002/118, 8</w:t>
      </w:r>
    </w:p>
  </w:footnote>
  <w:footnote w:id="22">
    <w:p w:rsidR="00024FC1" w:rsidRPr="00965138" w:rsidRDefault="00024FC1" w:rsidP="009F60CF">
      <w:pPr>
        <w:pStyle w:val="FootnoteText"/>
      </w:pPr>
      <w:r>
        <w:rPr>
          <w:rStyle w:val="FootnoteReference"/>
        </w:rPr>
        <w:footnoteRef/>
      </w:r>
      <w:r>
        <w:t xml:space="preserve"> HR, 06-09-1995, BNB 1996/4</w:t>
      </w:r>
    </w:p>
  </w:footnote>
  <w:footnote w:id="23">
    <w:p w:rsidR="00024FC1" w:rsidRPr="00D97ED9" w:rsidRDefault="00024FC1">
      <w:pPr>
        <w:pStyle w:val="FootnoteText"/>
      </w:pPr>
      <w:r>
        <w:rPr>
          <w:rStyle w:val="FootnoteReference"/>
        </w:rPr>
        <w:footnoteRef/>
      </w:r>
      <w:r>
        <w:t xml:space="preserve"> HR, 27-09-1995, BNB 1996/6</w:t>
      </w:r>
    </w:p>
  </w:footnote>
  <w:footnote w:id="24">
    <w:p w:rsidR="00024FC1" w:rsidRPr="00D97ED9" w:rsidRDefault="00024FC1">
      <w:pPr>
        <w:pStyle w:val="FootnoteText"/>
      </w:pPr>
      <w:r>
        <w:rPr>
          <w:rStyle w:val="FootnoteReference"/>
        </w:rPr>
        <w:footnoteRef/>
      </w:r>
      <w:r>
        <w:t xml:space="preserve"> HR, 17-12-2004, BNB 2005/169</w:t>
      </w:r>
    </w:p>
  </w:footnote>
  <w:footnote w:id="25">
    <w:p w:rsidR="00024FC1" w:rsidRPr="008208AC" w:rsidRDefault="00024FC1" w:rsidP="009F60CF">
      <w:pPr>
        <w:pStyle w:val="FootnoteText"/>
      </w:pPr>
      <w:r>
        <w:rPr>
          <w:rStyle w:val="FootnoteReference"/>
        </w:rPr>
        <w:footnoteRef/>
      </w:r>
      <w:r>
        <w:t xml:space="preserve"> </w:t>
      </w:r>
      <w:proofErr w:type="spellStart"/>
      <w:r w:rsidRPr="00611CA8">
        <w:t>Strien</w:t>
      </w:r>
      <w:proofErr w:type="spellEnd"/>
      <w:r w:rsidRPr="00611CA8">
        <w:t>, J. van, “</w:t>
      </w:r>
      <w:r w:rsidRPr="00611CA8">
        <w:rPr>
          <w:bCs/>
        </w:rPr>
        <w:t>Renteaftrekbeperkingen in de vennootschapsbelasting”, Proefschrift, Erasmus Universiteit Rotterdam, 2006</w:t>
      </w:r>
      <w:r>
        <w:t>, p 253</w:t>
      </w:r>
    </w:p>
  </w:footnote>
  <w:footnote w:id="26">
    <w:p w:rsidR="00024FC1" w:rsidRPr="0016411C" w:rsidRDefault="00024FC1" w:rsidP="009F60CF">
      <w:pPr>
        <w:pStyle w:val="FootnoteText"/>
      </w:pPr>
      <w:r>
        <w:rPr>
          <w:rStyle w:val="FootnoteReference"/>
        </w:rPr>
        <w:footnoteRef/>
      </w:r>
      <w:r>
        <w:t xml:space="preserve"> </w:t>
      </w:r>
      <w:r w:rsidRPr="0016411C">
        <w:t>MvT, Kamerstukken II 1995/1996, 24 696, nr. 3, blz. 2.</w:t>
      </w:r>
    </w:p>
  </w:footnote>
  <w:footnote w:id="27">
    <w:p w:rsidR="00024FC1" w:rsidRPr="007C07EF" w:rsidRDefault="00024FC1" w:rsidP="00DD659C">
      <w:pPr>
        <w:pStyle w:val="FootnoteText"/>
      </w:pPr>
      <w:r>
        <w:rPr>
          <w:rStyle w:val="FootnoteReference"/>
        </w:rPr>
        <w:footnoteRef/>
      </w:r>
      <w:r>
        <w:t xml:space="preserve"> </w:t>
      </w:r>
      <w:r w:rsidRPr="0016411C">
        <w:t>MvT, Kamerstukken II 1995/19</w:t>
      </w:r>
      <w:r>
        <w:t>96, 24 696, nr. 3, blz. 19</w:t>
      </w:r>
    </w:p>
  </w:footnote>
  <w:footnote w:id="28">
    <w:p w:rsidR="00024FC1" w:rsidRPr="00603619" w:rsidRDefault="00024FC1" w:rsidP="009F60CF">
      <w:pPr>
        <w:pStyle w:val="FootnoteText"/>
      </w:pPr>
      <w:r>
        <w:rPr>
          <w:rStyle w:val="FootnoteReference"/>
        </w:rPr>
        <w:footnoteRef/>
      </w:r>
      <w:r w:rsidR="00C55261">
        <w:t xml:space="preserve"> </w:t>
      </w:r>
      <w:proofErr w:type="gramStart"/>
      <w:r w:rsidR="00C55261">
        <w:t xml:space="preserve">Art. </w:t>
      </w:r>
      <w:proofErr w:type="gramEnd"/>
      <w:r w:rsidR="00C55261">
        <w:t>10a eerste lid</w:t>
      </w:r>
      <w:r>
        <w:t xml:space="preserve"> Wet VPB 1996</w:t>
      </w:r>
    </w:p>
  </w:footnote>
  <w:footnote w:id="29">
    <w:p w:rsidR="00024FC1" w:rsidRPr="00751CE7" w:rsidRDefault="00024FC1" w:rsidP="009F60CF">
      <w:pPr>
        <w:pStyle w:val="FootnoteText"/>
      </w:pPr>
      <w:r>
        <w:rPr>
          <w:rStyle w:val="FootnoteReference"/>
        </w:rPr>
        <w:footnoteRef/>
      </w:r>
      <w:r>
        <w:t xml:space="preserve"> </w:t>
      </w:r>
      <w:r w:rsidRPr="0016411C">
        <w:t>MvT, Kamerstukken II 1995/19</w:t>
      </w:r>
      <w:r>
        <w:t>96, 24 696, nr. 3</w:t>
      </w:r>
    </w:p>
  </w:footnote>
  <w:footnote w:id="30">
    <w:p w:rsidR="00024FC1" w:rsidRPr="00BD6EA6" w:rsidRDefault="00024FC1">
      <w:pPr>
        <w:pStyle w:val="FootnoteText"/>
      </w:pPr>
      <w:r>
        <w:rPr>
          <w:rStyle w:val="FootnoteReference"/>
        </w:rPr>
        <w:footnoteRef/>
      </w:r>
      <w:r>
        <w:t xml:space="preserve"> </w:t>
      </w:r>
      <w:r w:rsidRPr="00882032">
        <w:t>AG Wattel, HR, 24-</w:t>
      </w:r>
      <w:r>
        <w:t>03</w:t>
      </w:r>
      <w:r w:rsidRPr="00882032">
        <w:t xml:space="preserve">-2011, </w:t>
      </w:r>
      <w:r>
        <w:t xml:space="preserve">NR: </w:t>
      </w:r>
      <w:r w:rsidRPr="00882032">
        <w:t>10.03465, LJN: B1248</w:t>
      </w:r>
      <w:r>
        <w:t>, 6.11</w:t>
      </w:r>
    </w:p>
  </w:footnote>
  <w:footnote w:id="31">
    <w:p w:rsidR="00024FC1" w:rsidRPr="00791760" w:rsidRDefault="00024FC1" w:rsidP="009F60CF">
      <w:pPr>
        <w:pStyle w:val="FootnoteText"/>
      </w:pPr>
      <w:r>
        <w:rPr>
          <w:rStyle w:val="FootnoteReference"/>
        </w:rPr>
        <w:footnoteRef/>
      </w:r>
      <w:r>
        <w:t xml:space="preserve"> </w:t>
      </w:r>
      <w:r w:rsidRPr="00767578">
        <w:t>Kamerstukken II 2003/04, 29 210, nr. 34, vraag 12, V-N 2003/57.18</w:t>
      </w:r>
    </w:p>
  </w:footnote>
  <w:footnote w:id="32">
    <w:p w:rsidR="00024FC1" w:rsidRPr="00A15D55" w:rsidRDefault="00024FC1" w:rsidP="00D4670D">
      <w:pPr>
        <w:pStyle w:val="FootnoteText"/>
      </w:pPr>
      <w:r>
        <w:rPr>
          <w:rStyle w:val="FootnoteReference"/>
        </w:rPr>
        <w:footnoteRef/>
      </w:r>
      <w:r>
        <w:t xml:space="preserve"> Rechtbank Haarlem, 09-12-2008, AWB08/3162, 4.1</w:t>
      </w:r>
    </w:p>
  </w:footnote>
  <w:footnote w:id="33">
    <w:p w:rsidR="00024FC1" w:rsidRPr="0084171B" w:rsidRDefault="00024FC1" w:rsidP="00D4670D">
      <w:pPr>
        <w:pStyle w:val="FootnoteText"/>
      </w:pPr>
      <w:r>
        <w:rPr>
          <w:rStyle w:val="FootnoteReference"/>
        </w:rPr>
        <w:footnoteRef/>
      </w:r>
      <w:r>
        <w:t xml:space="preserve"> </w:t>
      </w:r>
      <w:r w:rsidRPr="00767578">
        <w:t>Kamerstukken II 2003/04, 29 210, nr. 34, vraag 12, V-N 2003/57.18</w:t>
      </w:r>
    </w:p>
  </w:footnote>
  <w:footnote w:id="34">
    <w:p w:rsidR="00024FC1" w:rsidRPr="007C6395" w:rsidRDefault="00024FC1" w:rsidP="00D4670D">
      <w:pPr>
        <w:pStyle w:val="FootnoteText"/>
      </w:pPr>
      <w:r>
        <w:rPr>
          <w:rStyle w:val="FootnoteReference"/>
        </w:rPr>
        <w:footnoteRef/>
      </w:r>
      <w:r>
        <w:t xml:space="preserve"> Rechtbank Haarlem, 09-12-2008, AWB08/3162, 4.3</w:t>
      </w:r>
    </w:p>
  </w:footnote>
  <w:footnote w:id="35">
    <w:p w:rsidR="00024FC1" w:rsidRPr="00A15D55" w:rsidRDefault="00024FC1" w:rsidP="00D4670D">
      <w:pPr>
        <w:pStyle w:val="FootnoteText"/>
      </w:pPr>
      <w:r>
        <w:rPr>
          <w:rStyle w:val="FootnoteReference"/>
        </w:rPr>
        <w:footnoteRef/>
      </w:r>
      <w:r>
        <w:t xml:space="preserve"> Rechtbank Haarlem, 09-12-2008, AWB08/3162, 4.3</w:t>
      </w:r>
    </w:p>
  </w:footnote>
  <w:footnote w:id="36">
    <w:p w:rsidR="00024FC1" w:rsidRPr="00CE6BF2" w:rsidRDefault="00024FC1" w:rsidP="00D4670D">
      <w:pPr>
        <w:pStyle w:val="FootnoteText"/>
      </w:pPr>
      <w:r>
        <w:rPr>
          <w:rStyle w:val="FootnoteReference"/>
        </w:rPr>
        <w:footnoteRef/>
      </w:r>
      <w:r>
        <w:t xml:space="preserve"> </w:t>
      </w:r>
      <w:r w:rsidRPr="00767578">
        <w:t>Gerechtshof Amsterdam</w:t>
      </w:r>
      <w:r>
        <w:t>, 01-07-</w:t>
      </w:r>
      <w:proofErr w:type="gramStart"/>
      <w:r>
        <w:t>2010</w:t>
      </w:r>
      <w:r w:rsidRPr="00767578">
        <w:t xml:space="preserve"> ,</w:t>
      </w:r>
      <w:proofErr w:type="gramEnd"/>
      <w:r w:rsidRPr="00767578">
        <w:t xml:space="preserve"> 08/01339</w:t>
      </w:r>
      <w:r>
        <w:t>,</w:t>
      </w:r>
      <w:r w:rsidRPr="003F374F">
        <w:t xml:space="preserve"> </w:t>
      </w:r>
      <w:r w:rsidRPr="00767578">
        <w:t>LJN: BN1174</w:t>
      </w:r>
      <w:r>
        <w:t>, 3.1</w:t>
      </w:r>
    </w:p>
  </w:footnote>
  <w:footnote w:id="37">
    <w:p w:rsidR="00024FC1" w:rsidRDefault="00024FC1" w:rsidP="00D4670D">
      <w:pPr>
        <w:pStyle w:val="FootnoteText"/>
      </w:pPr>
      <w:r>
        <w:rPr>
          <w:rStyle w:val="FootnoteReference"/>
        </w:rPr>
        <w:footnoteRef/>
      </w:r>
      <w:r>
        <w:t xml:space="preserve"> </w:t>
      </w:r>
      <w:r w:rsidRPr="00767578">
        <w:t>Kamerstukken II 2003/04, 29 210, nr. 34, vraag 12, V-N 2003/57.18</w:t>
      </w:r>
    </w:p>
  </w:footnote>
  <w:footnote w:id="38">
    <w:p w:rsidR="00024FC1" w:rsidRDefault="00024FC1" w:rsidP="00D4670D">
      <w:pPr>
        <w:pStyle w:val="FootnoteText"/>
      </w:pPr>
      <w:r>
        <w:rPr>
          <w:rStyle w:val="FootnoteReference"/>
        </w:rPr>
        <w:footnoteRef/>
      </w:r>
      <w:r>
        <w:t xml:space="preserve"> </w:t>
      </w:r>
      <w:r w:rsidRPr="00767578">
        <w:t>Gerechtshof Amsterdam</w:t>
      </w:r>
      <w:r>
        <w:t>, 01-07-</w:t>
      </w:r>
      <w:proofErr w:type="gramStart"/>
      <w:r>
        <w:t>2010</w:t>
      </w:r>
      <w:r w:rsidRPr="00767578">
        <w:t xml:space="preserve"> ,</w:t>
      </w:r>
      <w:proofErr w:type="gramEnd"/>
      <w:r w:rsidRPr="00767578">
        <w:t xml:space="preserve"> 08/01339</w:t>
      </w:r>
      <w:r>
        <w:t>,</w:t>
      </w:r>
      <w:r w:rsidRPr="003F374F">
        <w:t xml:space="preserve"> </w:t>
      </w:r>
      <w:r w:rsidRPr="00767578">
        <w:t>LJN: BN1174</w:t>
      </w:r>
    </w:p>
  </w:footnote>
  <w:footnote w:id="39">
    <w:p w:rsidR="00024FC1" w:rsidRPr="001449D3" w:rsidRDefault="00024FC1" w:rsidP="00D4670D">
      <w:pPr>
        <w:pStyle w:val="FootnoteText"/>
      </w:pPr>
      <w:r>
        <w:rPr>
          <w:rStyle w:val="FootnoteReference"/>
        </w:rPr>
        <w:footnoteRef/>
      </w:r>
      <w:r>
        <w:t xml:space="preserve"> HR, 24-03-2011, Nr. 10/03465, LJN: BQ 1248</w:t>
      </w:r>
    </w:p>
  </w:footnote>
  <w:footnote w:id="40">
    <w:p w:rsidR="00024FC1" w:rsidRDefault="00024FC1" w:rsidP="00D4670D">
      <w:pPr>
        <w:pStyle w:val="FootnoteText"/>
      </w:pPr>
      <w:r>
        <w:rPr>
          <w:rStyle w:val="FootnoteReference"/>
        </w:rPr>
        <w:footnoteRef/>
      </w:r>
      <w:r>
        <w:t xml:space="preserve"> </w:t>
      </w:r>
      <w:r w:rsidRPr="00212F94">
        <w:t>AG</w:t>
      </w:r>
      <w:r>
        <w:t xml:space="preserve"> Wattel, HR, 24 maart 2011, 10/03465</w:t>
      </w:r>
      <w:proofErr w:type="gramStart"/>
      <w:r>
        <w:t>,LJN</w:t>
      </w:r>
      <w:proofErr w:type="gramEnd"/>
      <w:r>
        <w:t>: BQ 1248</w:t>
      </w:r>
    </w:p>
  </w:footnote>
  <w:footnote w:id="41">
    <w:p w:rsidR="00024FC1" w:rsidRDefault="00024FC1" w:rsidP="00D4670D">
      <w:pPr>
        <w:pStyle w:val="FootnoteText"/>
      </w:pPr>
      <w:r>
        <w:rPr>
          <w:rStyle w:val="FootnoteReference"/>
        </w:rPr>
        <w:footnoteRef/>
      </w:r>
      <w:r>
        <w:t xml:space="preserve"> </w:t>
      </w:r>
      <w:r w:rsidRPr="00212F94">
        <w:t>AG</w:t>
      </w:r>
      <w:r>
        <w:t xml:space="preserve"> Wattel, HR, 24 maart 2011, 10/03465,</w:t>
      </w:r>
      <w:r w:rsidRPr="00061FA5">
        <w:t xml:space="preserve"> </w:t>
      </w:r>
      <w:proofErr w:type="gramStart"/>
      <w:r>
        <w:t xml:space="preserve">LJN:  </w:t>
      </w:r>
      <w:proofErr w:type="gramEnd"/>
      <w:r>
        <w:t>BQ 1248, 1.4</w:t>
      </w:r>
    </w:p>
  </w:footnote>
  <w:footnote w:id="42">
    <w:p w:rsidR="00024FC1" w:rsidRPr="00B25173" w:rsidRDefault="00024FC1" w:rsidP="00D4670D">
      <w:pPr>
        <w:pStyle w:val="FootnoteText"/>
      </w:pPr>
      <w:r>
        <w:rPr>
          <w:rStyle w:val="FootnoteReference"/>
        </w:rPr>
        <w:footnoteRef/>
      </w:r>
      <w:r>
        <w:t xml:space="preserve"> </w:t>
      </w:r>
      <w:proofErr w:type="spellStart"/>
      <w:r w:rsidRPr="00672ED7">
        <w:t>Strien</w:t>
      </w:r>
      <w:proofErr w:type="spellEnd"/>
      <w:r w:rsidRPr="00672ED7">
        <w:t>, J. van, “</w:t>
      </w:r>
      <w:r w:rsidRPr="00672ED7">
        <w:rPr>
          <w:bCs/>
        </w:rPr>
        <w:t>Renteaftrekbeperkingen in de vennootschapsbelasting”, Proefschrift, Erasmus Universiteit Rotterdam, 2006</w:t>
      </w:r>
      <w:r>
        <w:rPr>
          <w:bCs/>
        </w:rPr>
        <w:t>, p 266</w:t>
      </w:r>
    </w:p>
  </w:footnote>
  <w:footnote w:id="43">
    <w:p w:rsidR="00024FC1" w:rsidRPr="00B25173" w:rsidRDefault="00024FC1" w:rsidP="00D4670D">
      <w:pPr>
        <w:pStyle w:val="FootnoteText"/>
      </w:pPr>
      <w:r w:rsidRPr="00B25173">
        <w:rPr>
          <w:rStyle w:val="FootnoteReference"/>
        </w:rPr>
        <w:footnoteRef/>
      </w:r>
      <w:r w:rsidRPr="00B25173">
        <w:t xml:space="preserve"> </w:t>
      </w:r>
      <w:proofErr w:type="spellStart"/>
      <w:r w:rsidRPr="00B25173">
        <w:t>Bouwman</w:t>
      </w:r>
      <w:proofErr w:type="spellEnd"/>
      <w:r w:rsidRPr="00B25173">
        <w:t xml:space="preserve">, J.N., “Wegwijs in de Vennootschapsbelasting”, </w:t>
      </w:r>
      <w:proofErr w:type="spellStart"/>
      <w:r w:rsidRPr="00B25173">
        <w:t>Sdu</w:t>
      </w:r>
      <w:proofErr w:type="spellEnd"/>
      <w:r w:rsidRPr="00B25173">
        <w:t xml:space="preserve"> Uitgevers, Amersfoort, 2009</w:t>
      </w:r>
    </w:p>
  </w:footnote>
  <w:footnote w:id="44">
    <w:p w:rsidR="00024FC1" w:rsidRPr="000034E2" w:rsidRDefault="00024FC1" w:rsidP="001969EA">
      <w:pPr>
        <w:pStyle w:val="FootnoteText"/>
        <w:rPr>
          <w:color w:val="FF0000"/>
        </w:rPr>
      </w:pPr>
      <w:r>
        <w:rPr>
          <w:rStyle w:val="FootnoteReference"/>
        </w:rPr>
        <w:footnoteRef/>
      </w:r>
      <w:r>
        <w:t xml:space="preserve"> </w:t>
      </w:r>
      <w:r w:rsidR="00751820" w:rsidRPr="00882032">
        <w:t xml:space="preserve">AG </w:t>
      </w:r>
      <w:proofErr w:type="spellStart"/>
      <w:r w:rsidR="00751820" w:rsidRPr="00882032">
        <w:t>Wattel</w:t>
      </w:r>
      <w:proofErr w:type="spellEnd"/>
      <w:r w:rsidR="00751820" w:rsidRPr="00882032">
        <w:t>, HR, 24-</w:t>
      </w:r>
      <w:r w:rsidR="00751820">
        <w:t>03</w:t>
      </w:r>
      <w:r w:rsidR="00751820" w:rsidRPr="00882032">
        <w:t xml:space="preserve">-2011, </w:t>
      </w:r>
      <w:r w:rsidR="00751820">
        <w:t xml:space="preserve">NR: </w:t>
      </w:r>
      <w:r w:rsidR="00751820" w:rsidRPr="00882032">
        <w:t>10.03465, LJN: B1248</w:t>
      </w:r>
      <w:r w:rsidR="00751820">
        <w:t>, 6.11</w:t>
      </w:r>
      <w:r w:rsidRPr="000034E2">
        <w:rPr>
          <w:color w:val="FF0000"/>
        </w:rPr>
        <w:t xml:space="preserve"> </w:t>
      </w:r>
    </w:p>
  </w:footnote>
  <w:footnote w:id="45">
    <w:p w:rsidR="00024FC1" w:rsidRPr="004643B5" w:rsidRDefault="00024FC1" w:rsidP="001F720B">
      <w:pPr>
        <w:pStyle w:val="FootnoteText"/>
      </w:pPr>
      <w:r>
        <w:rPr>
          <w:rStyle w:val="FootnoteReference"/>
        </w:rPr>
        <w:footnoteRef/>
      </w:r>
      <w:r>
        <w:t xml:space="preserve"> </w:t>
      </w:r>
      <w:r w:rsidRPr="005610F6">
        <w:t>AG Wattel</w:t>
      </w:r>
      <w:r w:rsidRPr="00751820">
        <w:t xml:space="preserve">, </w:t>
      </w:r>
      <w:r w:rsidRPr="00751820">
        <w:rPr>
          <w:bCs/>
        </w:rPr>
        <w:t>HR</w:t>
      </w:r>
      <w:r w:rsidRPr="00751820">
        <w:t>, NR</w:t>
      </w:r>
      <w:r w:rsidRPr="004F04C4">
        <w:t>: 10/00076, LJ</w:t>
      </w:r>
      <w:r w:rsidR="00751820">
        <w:t>N</w:t>
      </w:r>
      <w:r w:rsidRPr="004F04C4">
        <w:t>: BP1473 17 juni 2011</w:t>
      </w:r>
      <w:r>
        <w:t>, 10-12-2010, 1.4</w:t>
      </w:r>
    </w:p>
  </w:footnote>
  <w:footnote w:id="46">
    <w:p w:rsidR="00024FC1" w:rsidRPr="007562D0" w:rsidRDefault="00024FC1">
      <w:pPr>
        <w:pStyle w:val="FootnoteText"/>
      </w:pPr>
      <w:r>
        <w:rPr>
          <w:rStyle w:val="FootnoteReference"/>
        </w:rPr>
        <w:footnoteRef/>
      </w:r>
      <w:r>
        <w:t xml:space="preserve"> Hof Amsterdam, 26 november 2009, </w:t>
      </w:r>
      <w:r w:rsidRPr="007562D0">
        <w:rPr>
          <w:rFonts w:hint="eastAsia"/>
        </w:rPr>
        <w:t>P08/00445</w:t>
      </w:r>
    </w:p>
  </w:footnote>
  <w:footnote w:id="47">
    <w:p w:rsidR="00024FC1" w:rsidRDefault="00024FC1" w:rsidP="001F720B">
      <w:pPr>
        <w:pStyle w:val="FootnoteText"/>
      </w:pPr>
      <w:r>
        <w:rPr>
          <w:rStyle w:val="FootnoteReference"/>
        </w:rPr>
        <w:footnoteRef/>
      </w:r>
      <w:r>
        <w:t xml:space="preserve"> </w:t>
      </w:r>
      <w:r w:rsidRPr="005610F6">
        <w:t xml:space="preserve">AG </w:t>
      </w:r>
      <w:r w:rsidRPr="00C55261">
        <w:t xml:space="preserve">Wattel, </w:t>
      </w:r>
      <w:r w:rsidRPr="00C55261">
        <w:rPr>
          <w:bCs/>
        </w:rPr>
        <w:t>HR</w:t>
      </w:r>
      <w:r w:rsidRPr="00C55261">
        <w:t>, NR: 10</w:t>
      </w:r>
      <w:r w:rsidRPr="004F04C4">
        <w:t>/00076, LJN: BP1473</w:t>
      </w:r>
      <w:r>
        <w:t>, 10-12-2010, 6.35</w:t>
      </w:r>
    </w:p>
  </w:footnote>
  <w:footnote w:id="48">
    <w:p w:rsidR="00024FC1" w:rsidRPr="00360F12" w:rsidRDefault="00024FC1" w:rsidP="001F720B">
      <w:pPr>
        <w:pStyle w:val="FootnoteText"/>
      </w:pPr>
      <w:r>
        <w:rPr>
          <w:rStyle w:val="FootnoteReference"/>
        </w:rPr>
        <w:footnoteRef/>
      </w:r>
      <w:r>
        <w:t xml:space="preserve"> </w:t>
      </w:r>
      <w:r w:rsidR="00C55261">
        <w:t>Hoge Raad, 20-04-</w:t>
      </w:r>
      <w:r w:rsidRPr="00360F12">
        <w:t>1977</w:t>
      </w:r>
      <w:r>
        <w:t>, BNB 1977/162</w:t>
      </w:r>
    </w:p>
  </w:footnote>
  <w:footnote w:id="49">
    <w:p w:rsidR="00024FC1" w:rsidRPr="00AA0450" w:rsidRDefault="00024FC1" w:rsidP="00FE60E8">
      <w:pPr>
        <w:pStyle w:val="FootnoteText"/>
        <w:rPr>
          <w:color w:val="FF0000"/>
          <w:lang w:val="en-US"/>
        </w:rPr>
      </w:pPr>
      <w:r>
        <w:rPr>
          <w:rStyle w:val="FootnoteReference"/>
        </w:rPr>
        <w:footnoteRef/>
      </w:r>
      <w:proofErr w:type="spellStart"/>
      <w:r>
        <w:rPr>
          <w:lang w:val="en-US"/>
        </w:rPr>
        <w:t>Gebaseerd</w:t>
      </w:r>
      <w:proofErr w:type="spellEnd"/>
      <w:r>
        <w:rPr>
          <w:lang w:val="en-US"/>
        </w:rPr>
        <w:t xml:space="preserve"> op:</w:t>
      </w:r>
      <w:r w:rsidRPr="00091E84">
        <w:rPr>
          <w:lang w:val="en-US"/>
        </w:rPr>
        <w:t xml:space="preserve"> </w:t>
      </w:r>
      <w:r>
        <w:rPr>
          <w:lang w:val="en-US"/>
        </w:rPr>
        <w:t xml:space="preserve">Mark, Nelson Chung, 2001, “International Macroeconomics and Finance; Theory and Econometric Methods”, Ohio State University, Blackwell Publishing, p. 3-11 &amp; </w:t>
      </w:r>
      <w:proofErr w:type="spellStart"/>
      <w:r>
        <w:rPr>
          <w:lang w:val="en-US"/>
        </w:rPr>
        <w:t>Marrewijk</w:t>
      </w:r>
      <w:proofErr w:type="spellEnd"/>
      <w:r>
        <w:rPr>
          <w:lang w:val="en-US"/>
        </w:rPr>
        <w:t xml:space="preserve">, C van, 2007, “International Economics; Theory, application and Policy”, Oxford University Press, p. 457-460 &amp; </w:t>
      </w:r>
      <w:proofErr w:type="spellStart"/>
      <w:r>
        <w:rPr>
          <w:lang w:val="en-US"/>
        </w:rPr>
        <w:t>Burda</w:t>
      </w:r>
      <w:proofErr w:type="spellEnd"/>
      <w:r>
        <w:rPr>
          <w:lang w:val="en-US"/>
        </w:rPr>
        <w:t xml:space="preserve">, M., C. </w:t>
      </w:r>
      <w:proofErr w:type="spellStart"/>
      <w:r>
        <w:rPr>
          <w:lang w:val="en-US"/>
        </w:rPr>
        <w:t>Wyplosz</w:t>
      </w:r>
      <w:proofErr w:type="spellEnd"/>
      <w:r>
        <w:rPr>
          <w:lang w:val="en-US"/>
        </w:rPr>
        <w:t xml:space="preserve">, “Macroeconomics, a European Text”, </w:t>
      </w:r>
      <w:proofErr w:type="spellStart"/>
      <w:r>
        <w:rPr>
          <w:lang w:val="en-US"/>
        </w:rPr>
        <w:t>Oxfort</w:t>
      </w:r>
      <w:proofErr w:type="spellEnd"/>
      <w:r>
        <w:rPr>
          <w:lang w:val="en-US"/>
        </w:rPr>
        <w:t xml:space="preserve"> University Press, New York, 2005, 4</w:t>
      </w:r>
      <w:r w:rsidRPr="00656458">
        <w:rPr>
          <w:vertAlign w:val="superscript"/>
          <w:lang w:val="en-US"/>
        </w:rPr>
        <w:t>th</w:t>
      </w:r>
      <w:r>
        <w:rPr>
          <w:lang w:val="en-US"/>
        </w:rPr>
        <w:t xml:space="preserve"> edition, p. 466-468 </w:t>
      </w:r>
    </w:p>
  </w:footnote>
  <w:footnote w:id="50">
    <w:p w:rsidR="00024FC1" w:rsidRPr="00656458" w:rsidRDefault="00024FC1" w:rsidP="00FE60E8">
      <w:pPr>
        <w:pStyle w:val="FootnoteText"/>
        <w:rPr>
          <w:lang w:val="en-US"/>
        </w:rPr>
      </w:pPr>
      <w:r w:rsidRPr="00656458">
        <w:rPr>
          <w:rStyle w:val="FootnoteReference"/>
        </w:rPr>
        <w:footnoteRef/>
      </w:r>
      <w:r w:rsidRPr="00656458">
        <w:rPr>
          <w:lang w:val="en-US"/>
        </w:rPr>
        <w:t xml:space="preserve"> </w:t>
      </w:r>
      <w:proofErr w:type="spellStart"/>
      <w:r w:rsidRPr="00656458">
        <w:rPr>
          <w:lang w:val="en-US"/>
        </w:rPr>
        <w:t>Burda</w:t>
      </w:r>
      <w:proofErr w:type="spellEnd"/>
      <w:r w:rsidRPr="00656458">
        <w:rPr>
          <w:lang w:val="en-US"/>
        </w:rPr>
        <w:t xml:space="preserve">, M., C. </w:t>
      </w:r>
      <w:proofErr w:type="spellStart"/>
      <w:r w:rsidRPr="00656458">
        <w:rPr>
          <w:lang w:val="en-US"/>
        </w:rPr>
        <w:t>Wyplosz</w:t>
      </w:r>
      <w:proofErr w:type="spellEnd"/>
      <w:r w:rsidRPr="00656458">
        <w:rPr>
          <w:lang w:val="en-US"/>
        </w:rPr>
        <w:t xml:space="preserve">, “Macroeconomics, a European Text”, </w:t>
      </w:r>
      <w:proofErr w:type="spellStart"/>
      <w:r w:rsidRPr="00656458">
        <w:rPr>
          <w:lang w:val="en-US"/>
        </w:rPr>
        <w:t>Oxfort</w:t>
      </w:r>
      <w:proofErr w:type="spellEnd"/>
      <w:r w:rsidRPr="00656458">
        <w:rPr>
          <w:lang w:val="en-US"/>
        </w:rPr>
        <w:t xml:space="preserve"> University Press, New York, 2005, 4</w:t>
      </w:r>
      <w:r w:rsidRPr="00656458">
        <w:rPr>
          <w:vertAlign w:val="superscript"/>
          <w:lang w:val="en-US"/>
        </w:rPr>
        <w:t>th</w:t>
      </w:r>
      <w:r w:rsidRPr="00656458">
        <w:rPr>
          <w:lang w:val="en-US"/>
        </w:rPr>
        <w:t xml:space="preserve"> edition, p. 466-470</w:t>
      </w:r>
    </w:p>
  </w:footnote>
  <w:footnote w:id="51">
    <w:p w:rsidR="00024FC1" w:rsidRPr="00FE60E8" w:rsidRDefault="00024FC1" w:rsidP="00FE60E8">
      <w:pPr>
        <w:pStyle w:val="FootnoteText"/>
        <w:rPr>
          <w:lang w:val="en-US"/>
        </w:rPr>
      </w:pPr>
      <w:r>
        <w:rPr>
          <w:rStyle w:val="FootnoteReference"/>
        </w:rPr>
        <w:footnoteRef/>
      </w:r>
      <w:r w:rsidRPr="00FE60E8">
        <w:rPr>
          <w:lang w:val="en-US"/>
        </w:rPr>
        <w:t xml:space="preserve"> </w:t>
      </w:r>
      <w:proofErr w:type="spellStart"/>
      <w:r>
        <w:rPr>
          <w:lang w:val="en-US"/>
        </w:rPr>
        <w:t>Burda</w:t>
      </w:r>
      <w:proofErr w:type="spellEnd"/>
      <w:r>
        <w:rPr>
          <w:lang w:val="en-US"/>
        </w:rPr>
        <w:t xml:space="preserve">, M., C. </w:t>
      </w:r>
      <w:proofErr w:type="spellStart"/>
      <w:r>
        <w:rPr>
          <w:lang w:val="en-US"/>
        </w:rPr>
        <w:t>Wyplosz</w:t>
      </w:r>
      <w:proofErr w:type="spellEnd"/>
      <w:r>
        <w:rPr>
          <w:lang w:val="en-US"/>
        </w:rPr>
        <w:t xml:space="preserve">, “Macroeconomics, a European Text”, </w:t>
      </w:r>
      <w:proofErr w:type="spellStart"/>
      <w:r>
        <w:rPr>
          <w:lang w:val="en-US"/>
        </w:rPr>
        <w:t>Oxfort</w:t>
      </w:r>
      <w:proofErr w:type="spellEnd"/>
      <w:r>
        <w:rPr>
          <w:lang w:val="en-US"/>
        </w:rPr>
        <w:t xml:space="preserve"> University Press, New York, 2005, 4</w:t>
      </w:r>
      <w:r w:rsidRPr="00656458">
        <w:rPr>
          <w:vertAlign w:val="superscript"/>
          <w:lang w:val="en-US"/>
        </w:rPr>
        <w:t>th</w:t>
      </w:r>
      <w:r>
        <w:rPr>
          <w:lang w:val="en-US"/>
        </w:rPr>
        <w:t xml:space="preserve"> </w:t>
      </w:r>
      <w:r w:rsidRPr="00656458">
        <w:rPr>
          <w:lang w:val="en-US"/>
        </w:rPr>
        <w:t>edition, p. 468</w:t>
      </w:r>
    </w:p>
  </w:footnote>
  <w:footnote w:id="52">
    <w:p w:rsidR="00024FC1" w:rsidRPr="006003EC" w:rsidRDefault="00024FC1" w:rsidP="00467176">
      <w:pPr>
        <w:pStyle w:val="FootnoteText"/>
        <w:rPr>
          <w:lang w:val="en-US"/>
        </w:rPr>
      </w:pPr>
      <w:r>
        <w:rPr>
          <w:rStyle w:val="FootnoteReference"/>
        </w:rPr>
        <w:footnoteRef/>
      </w:r>
      <w:r w:rsidRPr="006003EC">
        <w:rPr>
          <w:lang w:val="en-US"/>
        </w:rPr>
        <w:t xml:space="preserve"> </w:t>
      </w:r>
      <w:r w:rsidRPr="00C0767B">
        <w:rPr>
          <w:lang w:val="en-US"/>
        </w:rPr>
        <w:t>Meredith, Guy</w:t>
      </w:r>
      <w:r>
        <w:rPr>
          <w:lang w:val="en-US"/>
        </w:rPr>
        <w:t xml:space="preserve"> en </w:t>
      </w:r>
      <w:proofErr w:type="spellStart"/>
      <w:r>
        <w:rPr>
          <w:lang w:val="en-US"/>
        </w:rPr>
        <w:t>Menzie</w:t>
      </w:r>
      <w:proofErr w:type="spellEnd"/>
      <w:r>
        <w:rPr>
          <w:lang w:val="en-US"/>
        </w:rPr>
        <w:t xml:space="preserve"> D. Chinn</w:t>
      </w:r>
      <w:r w:rsidRPr="00C0767B">
        <w:rPr>
          <w:lang w:val="en-US"/>
        </w:rPr>
        <w:t xml:space="preserve">, </w:t>
      </w:r>
      <w:r>
        <w:rPr>
          <w:lang w:val="en-US"/>
        </w:rPr>
        <w:t>“</w:t>
      </w:r>
      <w:r w:rsidRPr="00C0767B">
        <w:rPr>
          <w:lang w:val="en-US"/>
        </w:rPr>
        <w:t>Monetary Policy and Long-Horizon Uncovered Interest Parity</w:t>
      </w:r>
      <w:r>
        <w:rPr>
          <w:lang w:val="en-US"/>
        </w:rPr>
        <w:t xml:space="preserve">”, </w:t>
      </w:r>
      <w:r w:rsidRPr="00C0767B">
        <w:rPr>
          <w:lang w:val="en-US"/>
        </w:rPr>
        <w:t>IMF staff papers</w:t>
      </w:r>
      <w:r>
        <w:rPr>
          <w:lang w:val="en-US"/>
        </w:rPr>
        <w:t>,</w:t>
      </w:r>
      <w:r w:rsidRPr="00C0767B">
        <w:rPr>
          <w:lang w:val="en-US"/>
        </w:rPr>
        <w:t xml:space="preserve"> 01/09/2004</w:t>
      </w:r>
      <w:r>
        <w:rPr>
          <w:lang w:val="en-US"/>
        </w:rPr>
        <w:t>, page 409-410</w:t>
      </w:r>
    </w:p>
  </w:footnote>
  <w:footnote w:id="53">
    <w:p w:rsidR="00024FC1" w:rsidRPr="006003EC" w:rsidRDefault="00024FC1" w:rsidP="00467176">
      <w:pPr>
        <w:pStyle w:val="FootnoteText"/>
        <w:rPr>
          <w:lang w:val="en-US"/>
        </w:rPr>
      </w:pPr>
      <w:r>
        <w:rPr>
          <w:rStyle w:val="FootnoteReference"/>
        </w:rPr>
        <w:footnoteRef/>
      </w:r>
      <w:r w:rsidRPr="006003EC">
        <w:rPr>
          <w:lang w:val="en-US"/>
        </w:rPr>
        <w:t xml:space="preserve"> </w:t>
      </w:r>
      <w:r>
        <w:rPr>
          <w:lang w:val="en-US"/>
        </w:rPr>
        <w:t>Meese, A</w:t>
      </w:r>
      <w:r w:rsidR="00B9503F">
        <w:rPr>
          <w:lang w:val="en-US"/>
        </w:rPr>
        <w:t>.</w:t>
      </w:r>
      <w:r w:rsidR="009646CF">
        <w:rPr>
          <w:lang w:val="en-US"/>
        </w:rPr>
        <w:t xml:space="preserve">, </w:t>
      </w:r>
      <w:r w:rsidR="009646CF">
        <w:rPr>
          <w:lang w:val="en-US"/>
        </w:rPr>
        <w:t xml:space="preserve">K. </w:t>
      </w:r>
      <w:proofErr w:type="spellStart"/>
      <w:r w:rsidR="009646CF">
        <w:rPr>
          <w:lang w:val="en-US"/>
        </w:rPr>
        <w:t>Rogoff</w:t>
      </w:r>
      <w:proofErr w:type="spellEnd"/>
      <w:r w:rsidR="009646CF">
        <w:rPr>
          <w:lang w:val="en-US"/>
        </w:rPr>
        <w:t>,</w:t>
      </w:r>
      <w:r>
        <w:rPr>
          <w:lang w:val="en-US"/>
        </w:rPr>
        <w:t xml:space="preserve"> “</w:t>
      </w:r>
      <w:r w:rsidRPr="00C0767B">
        <w:rPr>
          <w:lang w:val="en-US"/>
        </w:rPr>
        <w:t xml:space="preserve">EMPIRICAL EXCHANGE RATE MODELS OF THE SEVENTIES, </w:t>
      </w:r>
      <w:r w:rsidRPr="00C0767B">
        <w:rPr>
          <w:bCs/>
          <w:lang w:val="en-US"/>
        </w:rPr>
        <w:t>Do they fit out of sample?”</w:t>
      </w:r>
      <w:r>
        <w:rPr>
          <w:bCs/>
          <w:lang w:val="en-US"/>
        </w:rPr>
        <w:t xml:space="preserve">, </w:t>
      </w:r>
      <w:r w:rsidRPr="00C0767B">
        <w:rPr>
          <w:bCs/>
          <w:lang w:val="en-US"/>
        </w:rPr>
        <w:t xml:space="preserve">Journal of International Economics 14 (1983) 3-24. </w:t>
      </w:r>
      <w:r w:rsidRPr="006003EC">
        <w:rPr>
          <w:bCs/>
          <w:lang w:val="en-US"/>
        </w:rPr>
        <w:t>North-Holland Publishing Company</w:t>
      </w:r>
    </w:p>
  </w:footnote>
  <w:footnote w:id="54">
    <w:p w:rsidR="00024FC1" w:rsidRPr="008F468B" w:rsidRDefault="00024FC1">
      <w:pPr>
        <w:pStyle w:val="FootnoteText"/>
        <w:rPr>
          <w:lang w:val="en-US"/>
        </w:rPr>
      </w:pPr>
      <w:r>
        <w:rPr>
          <w:rStyle w:val="FootnoteReference"/>
        </w:rPr>
        <w:footnoteRef/>
      </w:r>
      <w:r w:rsidRPr="008F468B">
        <w:rPr>
          <w:lang w:val="en-US"/>
        </w:rPr>
        <w:t xml:space="preserve"> </w:t>
      </w:r>
      <w:r>
        <w:rPr>
          <w:lang w:val="en-US"/>
        </w:rPr>
        <w:t>Meese, A</w:t>
      </w:r>
      <w:r w:rsidR="00B9503F">
        <w:rPr>
          <w:lang w:val="en-US"/>
        </w:rPr>
        <w:t>.</w:t>
      </w:r>
      <w:r w:rsidR="009646CF">
        <w:rPr>
          <w:lang w:val="en-US"/>
        </w:rPr>
        <w:t xml:space="preserve">, K. </w:t>
      </w:r>
      <w:proofErr w:type="spellStart"/>
      <w:r w:rsidR="009646CF">
        <w:rPr>
          <w:lang w:val="en-US"/>
        </w:rPr>
        <w:t>Rogoff</w:t>
      </w:r>
      <w:proofErr w:type="spellEnd"/>
      <w:r>
        <w:rPr>
          <w:lang w:val="en-US"/>
        </w:rPr>
        <w:t>, “</w:t>
      </w:r>
      <w:r w:rsidRPr="00C0767B">
        <w:rPr>
          <w:lang w:val="en-US"/>
        </w:rPr>
        <w:t xml:space="preserve">EMPIRICAL EXCHANGE RATE MODELS OF THE SEVENTIES, </w:t>
      </w:r>
      <w:r w:rsidRPr="00C0767B">
        <w:rPr>
          <w:bCs/>
          <w:lang w:val="en-US"/>
        </w:rPr>
        <w:t>Do they fit out of sample?”</w:t>
      </w:r>
      <w:r>
        <w:rPr>
          <w:bCs/>
          <w:lang w:val="en-US"/>
        </w:rPr>
        <w:t xml:space="preserve">, </w:t>
      </w:r>
      <w:r w:rsidRPr="00C0767B">
        <w:rPr>
          <w:bCs/>
          <w:lang w:val="en-US"/>
        </w:rPr>
        <w:t xml:space="preserve">Journal of International Economics 14 (1983) 3-24. </w:t>
      </w:r>
      <w:r w:rsidRPr="006003EC">
        <w:rPr>
          <w:bCs/>
          <w:lang w:val="en-US"/>
        </w:rPr>
        <w:t>North-Holland Publishing Company</w:t>
      </w:r>
      <w:r>
        <w:rPr>
          <w:lang w:val="en-US"/>
        </w:rPr>
        <w:t>, p 20</w:t>
      </w:r>
    </w:p>
  </w:footnote>
  <w:footnote w:id="55">
    <w:p w:rsidR="00024FC1" w:rsidRPr="008A3001" w:rsidRDefault="00024FC1" w:rsidP="00467176">
      <w:pPr>
        <w:pStyle w:val="FootnoteText"/>
        <w:rPr>
          <w:lang w:val="en-US"/>
        </w:rPr>
      </w:pPr>
      <w:r>
        <w:rPr>
          <w:rStyle w:val="FootnoteReference"/>
        </w:rPr>
        <w:footnoteRef/>
      </w:r>
      <w:r w:rsidR="00C55261">
        <w:rPr>
          <w:lang w:val="en-US"/>
        </w:rPr>
        <w:t xml:space="preserve"> </w:t>
      </w:r>
      <w:proofErr w:type="spellStart"/>
      <w:r w:rsidR="00C55261">
        <w:rPr>
          <w:lang w:val="en-US"/>
        </w:rPr>
        <w:t>Froot</w:t>
      </w:r>
      <w:proofErr w:type="spellEnd"/>
      <w:r w:rsidR="00C55261">
        <w:rPr>
          <w:lang w:val="en-US"/>
        </w:rPr>
        <w:t>, K. A.</w:t>
      </w:r>
      <w:r w:rsidR="00B9503F">
        <w:rPr>
          <w:lang w:val="en-US"/>
        </w:rPr>
        <w:t xml:space="preserve">, </w:t>
      </w:r>
      <w:r w:rsidRPr="008A3001">
        <w:rPr>
          <w:lang w:val="en-US"/>
        </w:rPr>
        <w:t>R</w:t>
      </w:r>
      <w:r w:rsidR="00C55261">
        <w:rPr>
          <w:lang w:val="en-US"/>
        </w:rPr>
        <w:t>.</w:t>
      </w:r>
      <w:r w:rsidRPr="008A3001">
        <w:rPr>
          <w:lang w:val="en-US"/>
        </w:rPr>
        <w:t xml:space="preserve"> H. </w:t>
      </w:r>
      <w:proofErr w:type="spellStart"/>
      <w:r>
        <w:rPr>
          <w:lang w:val="en-US"/>
        </w:rPr>
        <w:t>Thaler</w:t>
      </w:r>
      <w:proofErr w:type="spellEnd"/>
      <w:r>
        <w:rPr>
          <w:lang w:val="en-US"/>
        </w:rPr>
        <w:t xml:space="preserve">, “Foreign Exchange,” Journal of Economic Perspectives, </w:t>
      </w:r>
      <w:r w:rsidR="00C55261">
        <w:rPr>
          <w:lang w:val="en-US"/>
        </w:rPr>
        <w:t xml:space="preserve">1990, </w:t>
      </w:r>
      <w:r>
        <w:rPr>
          <w:lang w:val="en-US"/>
        </w:rPr>
        <w:t>Vol. 4 (Summer), pp. 179-92</w:t>
      </w:r>
    </w:p>
  </w:footnote>
  <w:footnote w:id="56">
    <w:p w:rsidR="00024FC1" w:rsidRPr="008A3001" w:rsidRDefault="00024FC1" w:rsidP="00467176">
      <w:pPr>
        <w:pStyle w:val="FootnoteText"/>
        <w:rPr>
          <w:lang w:val="en-US"/>
        </w:rPr>
      </w:pPr>
      <w:r>
        <w:rPr>
          <w:rStyle w:val="FootnoteReference"/>
        </w:rPr>
        <w:footnoteRef/>
      </w:r>
      <w:r w:rsidRPr="008A3001">
        <w:rPr>
          <w:lang w:val="en-US"/>
        </w:rPr>
        <w:t xml:space="preserve"> </w:t>
      </w:r>
      <w:r>
        <w:rPr>
          <w:lang w:val="en-US"/>
        </w:rPr>
        <w:t>Fisher et all, “Econometric evaluation of the exchange rate in models of the UK economy”, The Economic Journal, December 1990</w:t>
      </w:r>
    </w:p>
  </w:footnote>
  <w:footnote w:id="57">
    <w:p w:rsidR="00024FC1" w:rsidRPr="008A3001" w:rsidRDefault="00024FC1" w:rsidP="00467176">
      <w:pPr>
        <w:pStyle w:val="FootnoteText"/>
        <w:rPr>
          <w:lang w:val="en-US"/>
        </w:rPr>
      </w:pPr>
      <w:r>
        <w:rPr>
          <w:rStyle w:val="FootnoteReference"/>
        </w:rPr>
        <w:footnoteRef/>
      </w:r>
      <w:r w:rsidRPr="008A3001">
        <w:rPr>
          <w:lang w:val="en-US"/>
        </w:rPr>
        <w:t xml:space="preserve"> Anonymous, “Uncovered interest parity in practice”, </w:t>
      </w:r>
      <w:r>
        <w:rPr>
          <w:lang w:val="en-US"/>
        </w:rPr>
        <w:t>Bank of England quarterly bulletin, November 1997, p. 1</w:t>
      </w:r>
    </w:p>
  </w:footnote>
  <w:footnote w:id="58">
    <w:p w:rsidR="00024FC1" w:rsidRPr="00B420A5" w:rsidRDefault="00024FC1" w:rsidP="00467176">
      <w:pPr>
        <w:pStyle w:val="FootnoteText"/>
        <w:rPr>
          <w:lang w:val="en-US"/>
        </w:rPr>
      </w:pPr>
      <w:r>
        <w:rPr>
          <w:rStyle w:val="FootnoteReference"/>
        </w:rPr>
        <w:footnoteRef/>
      </w:r>
      <w:r w:rsidRPr="00B420A5">
        <w:rPr>
          <w:lang w:val="en-US"/>
        </w:rPr>
        <w:t xml:space="preserve"> </w:t>
      </w:r>
      <w:r w:rsidR="00B9503F" w:rsidRPr="00C0767B">
        <w:rPr>
          <w:lang w:val="en-US"/>
        </w:rPr>
        <w:t>Meredith, G</w:t>
      </w:r>
      <w:r w:rsidR="00B9503F">
        <w:rPr>
          <w:lang w:val="en-US"/>
        </w:rPr>
        <w:t>., M. D. Chinn</w:t>
      </w:r>
      <w:r w:rsidRPr="00C0767B">
        <w:rPr>
          <w:lang w:val="en-US"/>
        </w:rPr>
        <w:t xml:space="preserve">, </w:t>
      </w:r>
      <w:r>
        <w:rPr>
          <w:lang w:val="en-US"/>
        </w:rPr>
        <w:t>“</w:t>
      </w:r>
      <w:r w:rsidRPr="00C0767B">
        <w:rPr>
          <w:lang w:val="en-US"/>
        </w:rPr>
        <w:t>Monetary Policy and Long-Horizon Uncovered Interest Parity</w:t>
      </w:r>
      <w:r>
        <w:rPr>
          <w:lang w:val="en-US"/>
        </w:rPr>
        <w:t xml:space="preserve">”, </w:t>
      </w:r>
      <w:r w:rsidRPr="00C0767B">
        <w:rPr>
          <w:lang w:val="en-US"/>
        </w:rPr>
        <w:t>IMF staff papers</w:t>
      </w:r>
      <w:r>
        <w:rPr>
          <w:lang w:val="en-US"/>
        </w:rPr>
        <w:t>,</w:t>
      </w:r>
      <w:r w:rsidRPr="00C0767B">
        <w:rPr>
          <w:lang w:val="en-US"/>
        </w:rPr>
        <w:t xml:space="preserve"> 01/09/2004</w:t>
      </w:r>
    </w:p>
  </w:footnote>
  <w:footnote w:id="59">
    <w:p w:rsidR="00024FC1" w:rsidRPr="00842BA2" w:rsidRDefault="00024FC1">
      <w:pPr>
        <w:pStyle w:val="FootnoteText"/>
        <w:rPr>
          <w:lang w:val="en-US"/>
        </w:rPr>
      </w:pPr>
      <w:r>
        <w:rPr>
          <w:rStyle w:val="FootnoteReference"/>
        </w:rPr>
        <w:footnoteRef/>
      </w:r>
      <w:r w:rsidRPr="00842BA2">
        <w:rPr>
          <w:lang w:val="en-US"/>
        </w:rPr>
        <w:t xml:space="preserve"> </w:t>
      </w:r>
      <w:r w:rsidRPr="00C0767B">
        <w:rPr>
          <w:lang w:val="en-US"/>
        </w:rPr>
        <w:t>Meredith, G</w:t>
      </w:r>
      <w:r w:rsidR="00B9503F">
        <w:rPr>
          <w:lang w:val="en-US"/>
        </w:rPr>
        <w:t>., M.</w:t>
      </w:r>
      <w:r>
        <w:rPr>
          <w:lang w:val="en-US"/>
        </w:rPr>
        <w:t xml:space="preserve"> D. Chinn</w:t>
      </w:r>
      <w:r w:rsidRPr="00C0767B">
        <w:rPr>
          <w:lang w:val="en-US"/>
        </w:rPr>
        <w:t xml:space="preserve">, </w:t>
      </w:r>
      <w:r>
        <w:rPr>
          <w:lang w:val="en-US"/>
        </w:rPr>
        <w:t>“</w:t>
      </w:r>
      <w:r w:rsidRPr="00C0767B">
        <w:rPr>
          <w:lang w:val="en-US"/>
        </w:rPr>
        <w:t>Monetary Policy and Long-Horizon Uncovered Interest Parity</w:t>
      </w:r>
      <w:r>
        <w:rPr>
          <w:lang w:val="en-US"/>
        </w:rPr>
        <w:t xml:space="preserve">”, </w:t>
      </w:r>
      <w:r w:rsidRPr="00C0767B">
        <w:rPr>
          <w:lang w:val="en-US"/>
        </w:rPr>
        <w:t>IMF staff papers</w:t>
      </w:r>
      <w:r>
        <w:rPr>
          <w:lang w:val="en-US"/>
        </w:rPr>
        <w:t>,</w:t>
      </w:r>
      <w:r w:rsidRPr="00C0767B">
        <w:rPr>
          <w:lang w:val="en-US"/>
        </w:rPr>
        <w:t xml:space="preserve"> 01/09/2004</w:t>
      </w:r>
      <w:r>
        <w:rPr>
          <w:lang w:val="en-US"/>
        </w:rPr>
        <w:t>, p10/417</w:t>
      </w:r>
    </w:p>
  </w:footnote>
  <w:footnote w:id="60">
    <w:p w:rsidR="00024FC1" w:rsidRPr="005A145F" w:rsidRDefault="00024FC1">
      <w:pPr>
        <w:pStyle w:val="FootnoteText"/>
      </w:pPr>
      <w:r>
        <w:rPr>
          <w:rStyle w:val="FootnoteReference"/>
        </w:rPr>
        <w:footnoteRef/>
      </w:r>
      <w:r w:rsidRPr="005A145F">
        <w:t xml:space="preserve"> </w:t>
      </w:r>
      <w:proofErr w:type="spellStart"/>
      <w:r w:rsidRPr="005A145F">
        <w:t>Iperen</w:t>
      </w:r>
      <w:proofErr w:type="spellEnd"/>
      <w:r w:rsidRPr="005A145F">
        <w:t>, A. van, “Hamburgers zijn te duur, Mexico eet weer taco’s”, De Volkskrant, 18 mei 1996</w:t>
      </w:r>
    </w:p>
  </w:footnote>
  <w:footnote w:id="61">
    <w:p w:rsidR="00024FC1" w:rsidRPr="00BE2E5B" w:rsidRDefault="00024FC1" w:rsidP="00467176">
      <w:pPr>
        <w:pStyle w:val="FootnoteText"/>
        <w:rPr>
          <w:lang w:val="en-US"/>
        </w:rPr>
      </w:pPr>
      <w:r>
        <w:rPr>
          <w:rStyle w:val="FootnoteReference"/>
        </w:rPr>
        <w:footnoteRef/>
      </w:r>
      <w:r w:rsidRPr="00BE2E5B">
        <w:rPr>
          <w:lang w:val="en-US"/>
        </w:rPr>
        <w:t xml:space="preserve"> </w:t>
      </w:r>
      <w:proofErr w:type="spellStart"/>
      <w:r w:rsidRPr="00BE2E5B">
        <w:rPr>
          <w:lang w:val="en-US"/>
        </w:rPr>
        <w:t>Huisman</w:t>
      </w:r>
      <w:proofErr w:type="spellEnd"/>
      <w:r w:rsidRPr="00BE2E5B">
        <w:rPr>
          <w:lang w:val="en-US"/>
        </w:rPr>
        <w:t xml:space="preserve">, R., K. </w:t>
      </w:r>
      <w:proofErr w:type="spellStart"/>
      <w:r w:rsidRPr="00BE2E5B">
        <w:rPr>
          <w:lang w:val="en-US"/>
        </w:rPr>
        <w:t>Koedijk</w:t>
      </w:r>
      <w:proofErr w:type="spellEnd"/>
      <w:r w:rsidRPr="00BE2E5B">
        <w:rPr>
          <w:lang w:val="en-US"/>
        </w:rPr>
        <w:t xml:space="preserve">, C. </w:t>
      </w:r>
      <w:proofErr w:type="spellStart"/>
      <w:r w:rsidRPr="00BE2E5B">
        <w:rPr>
          <w:lang w:val="en-US"/>
        </w:rPr>
        <w:t>Kool</w:t>
      </w:r>
      <w:proofErr w:type="spellEnd"/>
      <w:r w:rsidRPr="00BE2E5B">
        <w:rPr>
          <w:lang w:val="en-US"/>
        </w:rPr>
        <w:t xml:space="preserve">, F. </w:t>
      </w:r>
      <w:proofErr w:type="spellStart"/>
      <w:r w:rsidRPr="00BE2E5B">
        <w:rPr>
          <w:lang w:val="en-US"/>
        </w:rPr>
        <w:t>Nissen</w:t>
      </w:r>
      <w:proofErr w:type="spellEnd"/>
      <w:r w:rsidRPr="00BE2E5B">
        <w:rPr>
          <w:lang w:val="en-US"/>
        </w:rPr>
        <w:t>, “Extreme support for uncovered interest parity”, Elsevier Science B.V., 1998</w:t>
      </w:r>
    </w:p>
  </w:footnote>
  <w:footnote w:id="62">
    <w:p w:rsidR="00024FC1" w:rsidRPr="00390CE9" w:rsidRDefault="00024FC1">
      <w:pPr>
        <w:pStyle w:val="FootnoteText"/>
        <w:rPr>
          <w:lang w:val="en-US"/>
        </w:rPr>
      </w:pPr>
      <w:r>
        <w:rPr>
          <w:rStyle w:val="FootnoteReference"/>
        </w:rPr>
        <w:footnoteRef/>
      </w:r>
      <w:r w:rsidRPr="00390CE9">
        <w:rPr>
          <w:lang w:val="en-US"/>
        </w:rPr>
        <w:t xml:space="preserve"> </w:t>
      </w:r>
      <w:proofErr w:type="spellStart"/>
      <w:r w:rsidRPr="00BE2E5B">
        <w:rPr>
          <w:lang w:val="en-US"/>
        </w:rPr>
        <w:t>Huisman</w:t>
      </w:r>
      <w:proofErr w:type="spellEnd"/>
      <w:r w:rsidRPr="00BE2E5B">
        <w:rPr>
          <w:lang w:val="en-US"/>
        </w:rPr>
        <w:t xml:space="preserve">, R., K. </w:t>
      </w:r>
      <w:proofErr w:type="spellStart"/>
      <w:r w:rsidRPr="00BE2E5B">
        <w:rPr>
          <w:lang w:val="en-US"/>
        </w:rPr>
        <w:t>Koedijk</w:t>
      </w:r>
      <w:proofErr w:type="spellEnd"/>
      <w:r w:rsidRPr="00BE2E5B">
        <w:rPr>
          <w:lang w:val="en-US"/>
        </w:rPr>
        <w:t xml:space="preserve">, C. </w:t>
      </w:r>
      <w:proofErr w:type="spellStart"/>
      <w:r w:rsidRPr="00BE2E5B">
        <w:rPr>
          <w:lang w:val="en-US"/>
        </w:rPr>
        <w:t>Kool</w:t>
      </w:r>
      <w:proofErr w:type="spellEnd"/>
      <w:r w:rsidRPr="00BE2E5B">
        <w:rPr>
          <w:lang w:val="en-US"/>
        </w:rPr>
        <w:t xml:space="preserve">, F. </w:t>
      </w:r>
      <w:proofErr w:type="spellStart"/>
      <w:r w:rsidRPr="00BE2E5B">
        <w:rPr>
          <w:lang w:val="en-US"/>
        </w:rPr>
        <w:t>Nissen</w:t>
      </w:r>
      <w:proofErr w:type="spellEnd"/>
      <w:r w:rsidRPr="00BE2E5B">
        <w:rPr>
          <w:lang w:val="en-US"/>
        </w:rPr>
        <w:t>, “Extreme support for uncovered interest parity”, Elsevier Science B.V., 1998</w:t>
      </w:r>
      <w:r>
        <w:rPr>
          <w:lang w:val="en-US"/>
        </w:rPr>
        <w:t>, p14/224</w:t>
      </w:r>
    </w:p>
  </w:footnote>
  <w:footnote w:id="63">
    <w:p w:rsidR="00024FC1" w:rsidRPr="00C557F2" w:rsidRDefault="00024FC1" w:rsidP="00467176">
      <w:pPr>
        <w:pStyle w:val="FootnoteText"/>
        <w:rPr>
          <w:lang w:val="en-US"/>
        </w:rPr>
      </w:pPr>
      <w:r>
        <w:rPr>
          <w:rStyle w:val="FootnoteReference"/>
        </w:rPr>
        <w:footnoteRef/>
      </w:r>
      <w:r w:rsidRPr="00C557F2">
        <w:rPr>
          <w:lang w:val="en-US"/>
        </w:rPr>
        <w:t xml:space="preserve"> </w:t>
      </w:r>
      <w:r>
        <w:rPr>
          <w:rFonts w:cs="Times New Roman"/>
          <w:lang w:val="en-US"/>
        </w:rPr>
        <w:t xml:space="preserve">Flood, Robert </w:t>
      </w:r>
      <w:proofErr w:type="spellStart"/>
      <w:r>
        <w:rPr>
          <w:rFonts w:cs="Times New Roman"/>
          <w:lang w:val="en-US"/>
        </w:rPr>
        <w:t>P;Rose</w:t>
      </w:r>
      <w:proofErr w:type="spellEnd"/>
      <w:r>
        <w:rPr>
          <w:rFonts w:cs="Times New Roman"/>
          <w:lang w:val="en-US"/>
        </w:rPr>
        <w:t xml:space="preserve">, Andrew K., “Uncovered Interest Parity in crisis”, </w:t>
      </w:r>
      <w:r w:rsidRPr="00C557F2">
        <w:rPr>
          <w:rFonts w:cs="Times New Roman"/>
          <w:lang w:val="en-US"/>
        </w:rPr>
        <w:t>IMF staff papers</w:t>
      </w:r>
      <w:r>
        <w:rPr>
          <w:rFonts w:cs="Times New Roman"/>
          <w:lang w:val="en-US"/>
        </w:rPr>
        <w:t>, 2002</w:t>
      </w:r>
    </w:p>
  </w:footnote>
  <w:footnote w:id="64">
    <w:p w:rsidR="00024FC1" w:rsidRPr="005051A4" w:rsidRDefault="00024FC1" w:rsidP="00467176">
      <w:pPr>
        <w:pStyle w:val="FootnoteText"/>
      </w:pPr>
      <w:r>
        <w:rPr>
          <w:rStyle w:val="FootnoteReference"/>
        </w:rPr>
        <w:footnoteRef/>
      </w:r>
      <w:r>
        <w:t xml:space="preserve"> </w:t>
      </w:r>
      <w:r w:rsidRPr="005051A4">
        <w:t>Giebels, R., “</w:t>
      </w:r>
      <w:r>
        <w:t>Japan zet</w:t>
      </w:r>
      <w:r w:rsidRPr="005051A4">
        <w:t xml:space="preserve"> rente komende jaren op 0”</w:t>
      </w:r>
      <w:r>
        <w:t>, De Volkskrant, 05-10-2010</w:t>
      </w:r>
    </w:p>
  </w:footnote>
  <w:footnote w:id="65">
    <w:p w:rsidR="00024FC1" w:rsidRPr="00301AA6" w:rsidRDefault="00024FC1">
      <w:pPr>
        <w:pStyle w:val="FootnoteText"/>
      </w:pPr>
      <w:r>
        <w:rPr>
          <w:rStyle w:val="FootnoteReference"/>
        </w:rPr>
        <w:footnoteRef/>
      </w:r>
      <w:r>
        <w:t xml:space="preserve"> </w:t>
      </w:r>
      <w:r w:rsidRPr="005051A4">
        <w:t>Giebels, R., “</w:t>
      </w:r>
      <w:r>
        <w:t>Japan zet</w:t>
      </w:r>
      <w:r w:rsidRPr="005051A4">
        <w:t xml:space="preserve"> rente komende jaren op 0”</w:t>
      </w:r>
      <w:r>
        <w:t>, De Volkskrant, 05-10-2010</w:t>
      </w:r>
    </w:p>
  </w:footnote>
  <w:footnote w:id="66">
    <w:p w:rsidR="00024FC1" w:rsidRPr="00301AA6" w:rsidRDefault="00024FC1" w:rsidP="00467176">
      <w:pPr>
        <w:pStyle w:val="FootnoteText"/>
      </w:pPr>
      <w:r>
        <w:rPr>
          <w:rStyle w:val="FootnoteReference"/>
        </w:rPr>
        <w:footnoteRef/>
      </w:r>
      <w:r w:rsidR="00C55261">
        <w:t xml:space="preserve"> HR 28-04-</w:t>
      </w:r>
      <w:r w:rsidRPr="00301AA6">
        <w:t>1999, nr. 33 122, BNB 1999/313</w:t>
      </w:r>
    </w:p>
  </w:footnote>
  <w:footnote w:id="67">
    <w:p w:rsidR="00864485" w:rsidRPr="00970C78" w:rsidRDefault="00864485" w:rsidP="00864485">
      <w:pPr>
        <w:pStyle w:val="FootnoteText"/>
        <w:rPr>
          <w:lang w:val="en-US"/>
        </w:rPr>
      </w:pPr>
      <w:r>
        <w:rPr>
          <w:rStyle w:val="FootnoteReference"/>
        </w:rPr>
        <w:footnoteRef/>
      </w:r>
      <w:r>
        <w:rPr>
          <w:lang w:val="en-US"/>
        </w:rPr>
        <w:t xml:space="preserve"> </w:t>
      </w:r>
      <w:proofErr w:type="gramStart"/>
      <w:r>
        <w:rPr>
          <w:lang w:val="en-US"/>
        </w:rPr>
        <w:t>HR</w:t>
      </w:r>
      <w:r w:rsidR="00B9503F">
        <w:rPr>
          <w:lang w:val="en-US"/>
        </w:rPr>
        <w:t>,</w:t>
      </w:r>
      <w:r>
        <w:rPr>
          <w:lang w:val="en-US"/>
        </w:rPr>
        <w:t xml:space="preserve"> 28-04-</w:t>
      </w:r>
      <w:r w:rsidRPr="009D71A8">
        <w:rPr>
          <w:lang w:val="en-US"/>
        </w:rPr>
        <w:t>1999, nr.</w:t>
      </w:r>
      <w:proofErr w:type="gramEnd"/>
      <w:r w:rsidRPr="009D71A8">
        <w:rPr>
          <w:lang w:val="en-US"/>
        </w:rPr>
        <w:t xml:space="preserve"> 33 122, BNB 1999/313, 3.2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3220C"/>
    <w:multiLevelType w:val="hybridMultilevel"/>
    <w:tmpl w:val="9F5C2580"/>
    <w:lvl w:ilvl="0" w:tplc="FCF62324">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719749A"/>
    <w:multiLevelType w:val="multilevel"/>
    <w:tmpl w:val="510A52D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548DD4" w:themeColor="text2" w:themeTint="99"/>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09AB2170"/>
    <w:multiLevelType w:val="multilevel"/>
    <w:tmpl w:val="510A52D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color w:val="548DD4" w:themeColor="text2" w:themeTint="99"/>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10E41EC6"/>
    <w:multiLevelType w:val="multilevel"/>
    <w:tmpl w:val="EFF4051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Theme="majorHAnsi" w:hAnsiTheme="majorHAnsi" w:hint="default"/>
        <w:b/>
        <w:color w:val="548DD4" w:themeColor="text2" w:themeTint="99"/>
        <w:sz w:val="26"/>
        <w:szCs w:val="26"/>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271E6ABF"/>
    <w:multiLevelType w:val="hybridMultilevel"/>
    <w:tmpl w:val="F32C670E"/>
    <w:lvl w:ilvl="0" w:tplc="FCF62324">
      <w:start w:val="4"/>
      <w:numFmt w:val="bullet"/>
      <w:lvlText w:val="-"/>
      <w:lvlJc w:val="left"/>
      <w:pPr>
        <w:ind w:left="720" w:hanging="360"/>
      </w:pPr>
      <w:rPr>
        <w:rFonts w:ascii="Calibri" w:eastAsia="Times New Roman" w:hAnsi="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D6E7E27"/>
    <w:multiLevelType w:val="multilevel"/>
    <w:tmpl w:val="EFF4051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asciiTheme="majorHAnsi" w:hAnsiTheme="majorHAnsi" w:hint="default"/>
        <w:b/>
        <w:color w:val="548DD4" w:themeColor="text2" w:themeTint="99"/>
        <w:sz w:val="26"/>
        <w:szCs w:val="26"/>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nsid w:val="31391993"/>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56070145"/>
    <w:multiLevelType w:val="multilevel"/>
    <w:tmpl w:val="898A010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nsid w:val="56A132DF"/>
    <w:multiLevelType w:val="multilevel"/>
    <w:tmpl w:val="898A010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nsid w:val="5E47039F"/>
    <w:multiLevelType w:val="multilevel"/>
    <w:tmpl w:val="898A010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nsid w:val="6A1857D5"/>
    <w:multiLevelType w:val="hybridMultilevel"/>
    <w:tmpl w:val="7A00DD6A"/>
    <w:lvl w:ilvl="0" w:tplc="06AAEF70">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0"/>
  </w:num>
  <w:num w:numId="2">
    <w:abstractNumId w:val="0"/>
  </w:num>
  <w:num w:numId="3">
    <w:abstractNumId w:val="4"/>
  </w:num>
  <w:num w:numId="4">
    <w:abstractNumId w:val="5"/>
  </w:num>
  <w:num w:numId="5">
    <w:abstractNumId w:val="9"/>
  </w:num>
  <w:num w:numId="6">
    <w:abstractNumId w:val="8"/>
  </w:num>
  <w:num w:numId="7">
    <w:abstractNumId w:val="6"/>
  </w:num>
  <w:num w:numId="8">
    <w:abstractNumId w:val="7"/>
  </w:num>
  <w:num w:numId="9">
    <w:abstractNumId w:val="2"/>
  </w:num>
  <w:num w:numId="10">
    <w:abstractNumId w:val="1"/>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9F60CF"/>
    <w:rsid w:val="0000463A"/>
    <w:rsid w:val="00024FC1"/>
    <w:rsid w:val="000438FA"/>
    <w:rsid w:val="00080671"/>
    <w:rsid w:val="000932C8"/>
    <w:rsid w:val="00095AEE"/>
    <w:rsid w:val="001019C1"/>
    <w:rsid w:val="00146910"/>
    <w:rsid w:val="00184E91"/>
    <w:rsid w:val="001969EA"/>
    <w:rsid w:val="001C788B"/>
    <w:rsid w:val="001E7066"/>
    <w:rsid w:val="001F708E"/>
    <w:rsid w:val="001F720B"/>
    <w:rsid w:val="00242037"/>
    <w:rsid w:val="00250EE2"/>
    <w:rsid w:val="002566FC"/>
    <w:rsid w:val="00264627"/>
    <w:rsid w:val="00265568"/>
    <w:rsid w:val="00274243"/>
    <w:rsid w:val="00276B27"/>
    <w:rsid w:val="00282EEA"/>
    <w:rsid w:val="002910B8"/>
    <w:rsid w:val="002D0EA6"/>
    <w:rsid w:val="002E1973"/>
    <w:rsid w:val="002F708C"/>
    <w:rsid w:val="00301AA6"/>
    <w:rsid w:val="0033793F"/>
    <w:rsid w:val="003404AC"/>
    <w:rsid w:val="00370AE2"/>
    <w:rsid w:val="00390CE9"/>
    <w:rsid w:val="003A54EE"/>
    <w:rsid w:val="003A7FBD"/>
    <w:rsid w:val="003C778C"/>
    <w:rsid w:val="004443B6"/>
    <w:rsid w:val="00467176"/>
    <w:rsid w:val="0047671E"/>
    <w:rsid w:val="004A1E5B"/>
    <w:rsid w:val="004A5962"/>
    <w:rsid w:val="004D2809"/>
    <w:rsid w:val="005214C6"/>
    <w:rsid w:val="00531E55"/>
    <w:rsid w:val="005539CC"/>
    <w:rsid w:val="00557024"/>
    <w:rsid w:val="005858AB"/>
    <w:rsid w:val="00586C2B"/>
    <w:rsid w:val="005A145F"/>
    <w:rsid w:val="005C0F0E"/>
    <w:rsid w:val="00615B43"/>
    <w:rsid w:val="00635AF3"/>
    <w:rsid w:val="00656458"/>
    <w:rsid w:val="006604DB"/>
    <w:rsid w:val="0066684C"/>
    <w:rsid w:val="00696A61"/>
    <w:rsid w:val="006A0FEC"/>
    <w:rsid w:val="006E1B1A"/>
    <w:rsid w:val="006E5AE0"/>
    <w:rsid w:val="0071088B"/>
    <w:rsid w:val="007127A2"/>
    <w:rsid w:val="007439BC"/>
    <w:rsid w:val="00750470"/>
    <w:rsid w:val="00751820"/>
    <w:rsid w:val="007562D0"/>
    <w:rsid w:val="00770D46"/>
    <w:rsid w:val="007D7A09"/>
    <w:rsid w:val="00810A30"/>
    <w:rsid w:val="00837461"/>
    <w:rsid w:val="008415B7"/>
    <w:rsid w:val="00842BA2"/>
    <w:rsid w:val="00844B9F"/>
    <w:rsid w:val="00864485"/>
    <w:rsid w:val="00882032"/>
    <w:rsid w:val="008A07D1"/>
    <w:rsid w:val="008B20DF"/>
    <w:rsid w:val="008B5559"/>
    <w:rsid w:val="008C2AF9"/>
    <w:rsid w:val="008C7317"/>
    <w:rsid w:val="008F468B"/>
    <w:rsid w:val="00916735"/>
    <w:rsid w:val="009247C5"/>
    <w:rsid w:val="009646CF"/>
    <w:rsid w:val="00986A9C"/>
    <w:rsid w:val="00991710"/>
    <w:rsid w:val="009C19ED"/>
    <w:rsid w:val="009F60CF"/>
    <w:rsid w:val="00A121CA"/>
    <w:rsid w:val="00A83612"/>
    <w:rsid w:val="00A865ED"/>
    <w:rsid w:val="00A969B7"/>
    <w:rsid w:val="00AD2C4E"/>
    <w:rsid w:val="00AD5628"/>
    <w:rsid w:val="00AF7F7A"/>
    <w:rsid w:val="00B25173"/>
    <w:rsid w:val="00B50A53"/>
    <w:rsid w:val="00B64CB8"/>
    <w:rsid w:val="00B71366"/>
    <w:rsid w:val="00B865E5"/>
    <w:rsid w:val="00B9503F"/>
    <w:rsid w:val="00BB0BBD"/>
    <w:rsid w:val="00BD13CA"/>
    <w:rsid w:val="00BD6EA6"/>
    <w:rsid w:val="00C14E8C"/>
    <w:rsid w:val="00C55261"/>
    <w:rsid w:val="00C848D8"/>
    <w:rsid w:val="00C92850"/>
    <w:rsid w:val="00C969FC"/>
    <w:rsid w:val="00CE77C6"/>
    <w:rsid w:val="00D11DC8"/>
    <w:rsid w:val="00D13047"/>
    <w:rsid w:val="00D16D14"/>
    <w:rsid w:val="00D245B8"/>
    <w:rsid w:val="00D4670D"/>
    <w:rsid w:val="00D61F94"/>
    <w:rsid w:val="00D97ED9"/>
    <w:rsid w:val="00DA1106"/>
    <w:rsid w:val="00DB3245"/>
    <w:rsid w:val="00DC1032"/>
    <w:rsid w:val="00DD3215"/>
    <w:rsid w:val="00DD659C"/>
    <w:rsid w:val="00E177DA"/>
    <w:rsid w:val="00EA71A1"/>
    <w:rsid w:val="00EC580C"/>
    <w:rsid w:val="00EE69AD"/>
    <w:rsid w:val="00EF5D7A"/>
    <w:rsid w:val="00F30BC6"/>
    <w:rsid w:val="00F41C89"/>
    <w:rsid w:val="00F5193C"/>
    <w:rsid w:val="00F53426"/>
    <w:rsid w:val="00F6141F"/>
    <w:rsid w:val="00F67696"/>
    <w:rsid w:val="00FB593D"/>
    <w:rsid w:val="00FE3A5F"/>
    <w:rsid w:val="00FE60E8"/>
    <w:rsid w:val="00FE6D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80C"/>
  </w:style>
  <w:style w:type="paragraph" w:styleId="Heading1">
    <w:name w:val="heading 1"/>
    <w:basedOn w:val="Normal"/>
    <w:next w:val="Normal"/>
    <w:link w:val="Heading1Char"/>
    <w:uiPriority w:val="9"/>
    <w:qFormat/>
    <w:rsid w:val="009F60C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F60C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60C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F60CF"/>
    <w:rPr>
      <w:rFonts w:asciiTheme="majorHAnsi" w:eastAsiaTheme="majorEastAsia" w:hAnsiTheme="majorHAnsi" w:cstheme="majorBidi"/>
      <w:b/>
      <w:bCs/>
      <w:color w:val="4F81BD" w:themeColor="accent1"/>
      <w:sz w:val="26"/>
      <w:szCs w:val="26"/>
    </w:rPr>
  </w:style>
  <w:style w:type="paragraph" w:styleId="NoSpacing">
    <w:name w:val="No Spacing"/>
    <w:uiPriority w:val="99"/>
    <w:qFormat/>
    <w:rsid w:val="009F60CF"/>
    <w:pPr>
      <w:spacing w:after="0" w:line="240" w:lineRule="auto"/>
    </w:pPr>
    <w:rPr>
      <w:rFonts w:ascii="Calibri" w:eastAsia="Calibri" w:hAnsi="Calibri" w:cs="Arial"/>
    </w:rPr>
  </w:style>
  <w:style w:type="paragraph" w:styleId="FootnoteText">
    <w:name w:val="footnote text"/>
    <w:basedOn w:val="Normal"/>
    <w:link w:val="FootnoteTextChar"/>
    <w:uiPriority w:val="99"/>
    <w:semiHidden/>
    <w:rsid w:val="009F60CF"/>
    <w:pPr>
      <w:spacing w:after="0" w:line="240" w:lineRule="auto"/>
    </w:pPr>
    <w:rPr>
      <w:rFonts w:ascii="Calibri" w:eastAsia="Calibri" w:hAnsi="Calibri" w:cs="Arial"/>
      <w:sz w:val="20"/>
      <w:szCs w:val="20"/>
    </w:rPr>
  </w:style>
  <w:style w:type="character" w:customStyle="1" w:styleId="FootnoteTextChar">
    <w:name w:val="Footnote Text Char"/>
    <w:basedOn w:val="DefaultParagraphFont"/>
    <w:link w:val="FootnoteText"/>
    <w:uiPriority w:val="99"/>
    <w:semiHidden/>
    <w:rsid w:val="009F60CF"/>
    <w:rPr>
      <w:rFonts w:ascii="Calibri" w:eastAsia="Calibri" w:hAnsi="Calibri" w:cs="Arial"/>
      <w:sz w:val="20"/>
      <w:szCs w:val="20"/>
    </w:rPr>
  </w:style>
  <w:style w:type="character" w:styleId="FootnoteReference">
    <w:name w:val="footnote reference"/>
    <w:basedOn w:val="DefaultParagraphFont"/>
    <w:uiPriority w:val="99"/>
    <w:semiHidden/>
    <w:rsid w:val="009F60CF"/>
    <w:rPr>
      <w:rFonts w:cs="Times New Roman"/>
      <w:vertAlign w:val="superscript"/>
    </w:rPr>
  </w:style>
  <w:style w:type="paragraph" w:styleId="TOC1">
    <w:name w:val="toc 1"/>
    <w:basedOn w:val="Normal"/>
    <w:next w:val="Normal"/>
    <w:autoRedefine/>
    <w:uiPriority w:val="39"/>
    <w:unhideWhenUsed/>
    <w:rsid w:val="009F60CF"/>
    <w:pPr>
      <w:spacing w:before="360" w:after="360"/>
    </w:pPr>
    <w:rPr>
      <w:b/>
      <w:bCs/>
      <w:caps/>
      <w:u w:val="single"/>
    </w:rPr>
  </w:style>
  <w:style w:type="paragraph" w:styleId="TOC2">
    <w:name w:val="toc 2"/>
    <w:basedOn w:val="Normal"/>
    <w:next w:val="Normal"/>
    <w:autoRedefine/>
    <w:uiPriority w:val="39"/>
    <w:unhideWhenUsed/>
    <w:rsid w:val="009F60CF"/>
    <w:pPr>
      <w:spacing w:after="0"/>
    </w:pPr>
    <w:rPr>
      <w:b/>
      <w:bCs/>
      <w:smallCaps/>
    </w:rPr>
  </w:style>
  <w:style w:type="paragraph" w:styleId="TOC3">
    <w:name w:val="toc 3"/>
    <w:basedOn w:val="Normal"/>
    <w:next w:val="Normal"/>
    <w:autoRedefine/>
    <w:uiPriority w:val="39"/>
    <w:unhideWhenUsed/>
    <w:rsid w:val="009F60CF"/>
    <w:pPr>
      <w:spacing w:after="0"/>
    </w:pPr>
    <w:rPr>
      <w:smallCaps/>
    </w:rPr>
  </w:style>
  <w:style w:type="paragraph" w:styleId="TOC4">
    <w:name w:val="toc 4"/>
    <w:basedOn w:val="Normal"/>
    <w:next w:val="Normal"/>
    <w:autoRedefine/>
    <w:uiPriority w:val="39"/>
    <w:unhideWhenUsed/>
    <w:rsid w:val="009F60CF"/>
    <w:pPr>
      <w:spacing w:after="0"/>
    </w:pPr>
  </w:style>
  <w:style w:type="paragraph" w:styleId="TOC5">
    <w:name w:val="toc 5"/>
    <w:basedOn w:val="Normal"/>
    <w:next w:val="Normal"/>
    <w:autoRedefine/>
    <w:uiPriority w:val="39"/>
    <w:unhideWhenUsed/>
    <w:rsid w:val="009F60CF"/>
    <w:pPr>
      <w:spacing w:after="0"/>
    </w:pPr>
  </w:style>
  <w:style w:type="paragraph" w:styleId="TOC6">
    <w:name w:val="toc 6"/>
    <w:basedOn w:val="Normal"/>
    <w:next w:val="Normal"/>
    <w:autoRedefine/>
    <w:uiPriority w:val="39"/>
    <w:unhideWhenUsed/>
    <w:rsid w:val="009F60CF"/>
    <w:pPr>
      <w:spacing w:after="0"/>
    </w:pPr>
  </w:style>
  <w:style w:type="paragraph" w:styleId="TOC7">
    <w:name w:val="toc 7"/>
    <w:basedOn w:val="Normal"/>
    <w:next w:val="Normal"/>
    <w:autoRedefine/>
    <w:uiPriority w:val="39"/>
    <w:unhideWhenUsed/>
    <w:rsid w:val="009F60CF"/>
    <w:pPr>
      <w:spacing w:after="0"/>
    </w:pPr>
  </w:style>
  <w:style w:type="paragraph" w:styleId="TOC8">
    <w:name w:val="toc 8"/>
    <w:basedOn w:val="Normal"/>
    <w:next w:val="Normal"/>
    <w:autoRedefine/>
    <w:uiPriority w:val="39"/>
    <w:unhideWhenUsed/>
    <w:rsid w:val="009F60CF"/>
    <w:pPr>
      <w:spacing w:after="0"/>
    </w:pPr>
  </w:style>
  <w:style w:type="paragraph" w:styleId="TOC9">
    <w:name w:val="toc 9"/>
    <w:basedOn w:val="Normal"/>
    <w:next w:val="Normal"/>
    <w:autoRedefine/>
    <w:uiPriority w:val="39"/>
    <w:unhideWhenUsed/>
    <w:rsid w:val="009F60CF"/>
    <w:pPr>
      <w:spacing w:after="0"/>
    </w:pPr>
  </w:style>
  <w:style w:type="character" w:styleId="Hyperlink">
    <w:name w:val="Hyperlink"/>
    <w:basedOn w:val="DefaultParagraphFont"/>
    <w:uiPriority w:val="99"/>
    <w:unhideWhenUsed/>
    <w:rsid w:val="009F60CF"/>
    <w:rPr>
      <w:color w:val="0000FF" w:themeColor="hyperlink"/>
      <w:u w:val="single"/>
    </w:rPr>
  </w:style>
  <w:style w:type="paragraph" w:styleId="BalloonText">
    <w:name w:val="Balloon Text"/>
    <w:basedOn w:val="Normal"/>
    <w:link w:val="BalloonTextChar"/>
    <w:uiPriority w:val="99"/>
    <w:semiHidden/>
    <w:unhideWhenUsed/>
    <w:rsid w:val="005C0F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F0E"/>
    <w:rPr>
      <w:rFonts w:ascii="Tahoma" w:hAnsi="Tahoma" w:cs="Tahoma"/>
      <w:sz w:val="16"/>
      <w:szCs w:val="16"/>
    </w:rPr>
  </w:style>
  <w:style w:type="table" w:styleId="TableGrid">
    <w:name w:val="Table Grid"/>
    <w:basedOn w:val="TableNormal"/>
    <w:uiPriority w:val="59"/>
    <w:rsid w:val="00635A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25173"/>
    <w:pPr>
      <w:ind w:left="720"/>
      <w:contextualSpacing/>
    </w:pPr>
  </w:style>
  <w:style w:type="paragraph" w:styleId="Title">
    <w:name w:val="Title"/>
    <w:basedOn w:val="Normal"/>
    <w:next w:val="Normal"/>
    <w:link w:val="TitleChar"/>
    <w:uiPriority w:val="10"/>
    <w:qFormat/>
    <w:rsid w:val="0099171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9171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9171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991710"/>
    <w:rPr>
      <w:rFonts w:asciiTheme="majorHAnsi" w:eastAsiaTheme="majorEastAsia" w:hAnsiTheme="majorHAnsi" w:cstheme="majorBidi"/>
      <w:i/>
      <w:iCs/>
      <w:color w:val="4F81BD" w:themeColor="accent1"/>
      <w:spacing w:val="15"/>
      <w:sz w:val="24"/>
      <w:szCs w:val="24"/>
    </w:rPr>
  </w:style>
  <w:style w:type="character" w:styleId="BookTitle">
    <w:name w:val="Book Title"/>
    <w:basedOn w:val="DefaultParagraphFont"/>
    <w:uiPriority w:val="33"/>
    <w:qFormat/>
    <w:rsid w:val="00A969B7"/>
    <w:rPr>
      <w:b/>
      <w:bCs/>
      <w:smallCaps/>
      <w:spacing w:val="5"/>
    </w:rPr>
  </w:style>
  <w:style w:type="paragraph" w:styleId="Header">
    <w:name w:val="header"/>
    <w:basedOn w:val="Normal"/>
    <w:link w:val="HeaderChar"/>
    <w:uiPriority w:val="99"/>
    <w:semiHidden/>
    <w:unhideWhenUsed/>
    <w:rsid w:val="00A969B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A969B7"/>
  </w:style>
  <w:style w:type="paragraph" w:styleId="Footer">
    <w:name w:val="footer"/>
    <w:basedOn w:val="Normal"/>
    <w:link w:val="FooterChar"/>
    <w:uiPriority w:val="99"/>
    <w:unhideWhenUsed/>
    <w:rsid w:val="00A969B7"/>
    <w:pPr>
      <w:tabs>
        <w:tab w:val="center" w:pos="4536"/>
        <w:tab w:val="right" w:pos="9072"/>
      </w:tabs>
      <w:spacing w:after="0" w:line="240" w:lineRule="auto"/>
    </w:pPr>
  </w:style>
  <w:style w:type="character" w:customStyle="1" w:styleId="FooterChar">
    <w:name w:val="Footer Char"/>
    <w:basedOn w:val="DefaultParagraphFont"/>
    <w:link w:val="Footer"/>
    <w:uiPriority w:val="99"/>
    <w:rsid w:val="00A969B7"/>
  </w:style>
</w:styles>
</file>

<file path=word/webSettings.xml><?xml version="1.0" encoding="utf-8"?>
<w:webSettings xmlns:r="http://schemas.openxmlformats.org/officeDocument/2006/relationships" xmlns:w="http://schemas.openxmlformats.org/wordprocessingml/2006/main">
  <w:divs>
    <w:div w:id="154497084">
      <w:bodyDiv w:val="1"/>
      <w:marLeft w:val="0"/>
      <w:marRight w:val="0"/>
      <w:marTop w:val="0"/>
      <w:marBottom w:val="0"/>
      <w:divBdr>
        <w:top w:val="none" w:sz="0" w:space="0" w:color="auto"/>
        <w:left w:val="none" w:sz="0" w:space="0" w:color="auto"/>
        <w:bottom w:val="none" w:sz="0" w:space="0" w:color="auto"/>
        <w:right w:val="none" w:sz="0" w:space="0" w:color="auto"/>
      </w:divBdr>
    </w:div>
    <w:div w:id="463085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76F878-20C8-4AAF-BE73-40C1E6C78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11531</Words>
  <Characters>65730</Characters>
  <Application>Microsoft Office Word</Application>
  <DocSecurity>0</DocSecurity>
  <Lines>547</Lines>
  <Paragraphs>154</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77107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Brigitte</dc:creator>
  <cp:lastModifiedBy>316046bv</cp:lastModifiedBy>
  <cp:revision>2</cp:revision>
  <dcterms:created xsi:type="dcterms:W3CDTF">2011-07-27T14:36:00Z</dcterms:created>
  <dcterms:modified xsi:type="dcterms:W3CDTF">2011-07-27T14:36:00Z</dcterms:modified>
</cp:coreProperties>
</file>